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2152" w14:textId="3152E703" w:rsidR="00067887" w:rsidRDefault="00067887" w:rsidP="00067887">
      <w:pPr>
        <w:pStyle w:val="Heading1"/>
        <w:jc w:val="left"/>
        <w:rPr>
          <w:rFonts w:ascii="Open Sans" w:hAnsi="Open Sans" w:cs="Open Sans"/>
          <w:b/>
          <w:color w:val="2F5496"/>
        </w:rPr>
      </w:pPr>
      <w:r w:rsidRPr="0084081A">
        <w:rPr>
          <w:rFonts w:ascii="Open Sans" w:hAnsi="Open Sans" w:cs="Open Sans"/>
          <w:b/>
          <w:noProof/>
          <w:lang w:eastAsia="en-GB"/>
        </w:rPr>
        <mc:AlternateContent>
          <mc:Choice Requires="wps">
            <w:drawing>
              <wp:anchor distT="0" distB="0" distL="114300" distR="114300" simplePos="0" relativeHeight="251659264" behindDoc="0" locked="0" layoutInCell="1" allowOverlap="1" wp14:anchorId="333A2D12" wp14:editId="59DFC84E">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8686F" w14:textId="77777777" w:rsidR="00067887" w:rsidRDefault="00067887" w:rsidP="00067887">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A2D12" id="_x0000_t202" coordsize="21600,21600" o:spt="202" path="m,l,21600r21600,l21600,xe">
                <v:stroke joinstyle="miter"/>
                <v:path gradientshapeok="t" o:connecttype="rect"/>
              </v:shapetype>
              <v:shape id="Text Box 13" o:spid="_x0000_s1026" type="#_x0000_t202" style="position:absolute;margin-left:-140.55pt;margin-top:622.3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9g8vJuEAAAAPAQAADwAAAGRycy9kb3ducmV2LnhtbEyPzU7DMBCE70i8g7VI3FI7&#10;aQIlxKkQiCuI8iNxc+NtEhGvo9htwtuznOC434xmZ6rt4gZxwin0njSkKwUCqfG2p1bD2+tjsgER&#10;oiFrBk+o4RsDbOvzs8qU1s/0gqddbAWHUCiNhi7GsZQyNB06E1Z+RGLt4CdnIp9TK+1kZg53g8yU&#10;upLO9MQfOjPifYfN1+7oNLw/HT4/cvXcPrhinP2iJLkbqfXlxXJ3CyLiEv/M8Fufq0PNnfb+SDaI&#10;QUOSbdKUvaxkeX4Ngj1JWhTM9szWa2ayruT/HfUPAAAA//8DAFBLAQItABQABgAIAAAAIQC2gziS&#10;/gAAAOEBAAATAAAAAAAAAAAAAAAAAAAAAABbQ29udGVudF9UeXBlc10ueG1sUEsBAi0AFAAGAAgA&#10;AAAhADj9If/WAAAAlAEAAAsAAAAAAAAAAAAAAAAALwEAAF9yZWxzLy5yZWxzUEsBAi0AFAAGAAgA&#10;AAAhALPqpXrcAQAAoAMAAA4AAAAAAAAAAAAAAAAALgIAAGRycy9lMm9Eb2MueG1sUEsBAi0AFAAG&#10;AAgAAAAhAPYPLybhAAAADwEAAA8AAAAAAAAAAAAAAAAANgQAAGRycy9kb3ducmV2LnhtbFBLBQYA&#10;AAAABAAEAPMAAABEBQAAAAA=&#10;" filled="f" stroked="f">
                <v:textbox>
                  <w:txbxContent>
                    <w:p w14:paraId="00E8686F" w14:textId="77777777" w:rsidR="00067887" w:rsidRDefault="00067887" w:rsidP="00067887">
                      <w:pPr>
                        <w:jc w:val="center"/>
                        <w:rPr>
                          <w:rFonts w:ascii="Arial" w:hAnsi="Arial"/>
                        </w:rPr>
                      </w:pPr>
                      <w:r>
                        <w:rPr>
                          <w:rFonts w:ascii="Arial" w:hAnsi="Arial"/>
                          <w:color w:val="FFFFFF"/>
                          <w:sz w:val="60"/>
                        </w:rPr>
                        <w:t>4</w:t>
                      </w:r>
                    </w:p>
                  </w:txbxContent>
                </v:textbox>
              </v:shape>
            </w:pict>
          </mc:Fallback>
        </mc:AlternateContent>
      </w:r>
      <w:r>
        <w:rPr>
          <w:rFonts w:ascii="Open Sans" w:hAnsi="Open Sans" w:cs="Open Sans"/>
          <w:b/>
        </w:rPr>
        <w:t xml:space="preserve">Appendix </w:t>
      </w:r>
      <w:r w:rsidRPr="0084081A">
        <w:rPr>
          <w:rFonts w:ascii="Open Sans" w:hAnsi="Open Sans" w:cs="Open Sans"/>
          <w:b/>
        </w:rPr>
        <w:t xml:space="preserve">from </w:t>
      </w:r>
      <w:r>
        <w:rPr>
          <w:rFonts w:ascii="Open Sans" w:hAnsi="Open Sans" w:cs="Open Sans"/>
          <w:b/>
        </w:rPr>
        <w:t>O</w:t>
      </w:r>
      <w:r w:rsidRPr="0084081A">
        <w:rPr>
          <w:rFonts w:ascii="Open Sans" w:hAnsi="Open Sans" w:cs="Open Sans"/>
          <w:b/>
        </w:rPr>
        <w:t xml:space="preserve">nline </w:t>
      </w:r>
      <w:r>
        <w:rPr>
          <w:rFonts w:ascii="Open Sans" w:hAnsi="Open Sans" w:cs="Open Sans"/>
          <w:b/>
        </w:rPr>
        <w:t>S</w:t>
      </w:r>
      <w:r w:rsidRPr="0084081A">
        <w:rPr>
          <w:rFonts w:ascii="Open Sans" w:hAnsi="Open Sans" w:cs="Open Sans"/>
          <w:b/>
        </w:rPr>
        <w:t xml:space="preserve">afety </w:t>
      </w:r>
      <w:r>
        <w:rPr>
          <w:rFonts w:ascii="Open Sans" w:hAnsi="Open Sans" w:cs="Open Sans"/>
          <w:b/>
        </w:rPr>
        <w:t>P</w:t>
      </w:r>
      <w:r w:rsidRPr="0084081A">
        <w:rPr>
          <w:rFonts w:ascii="Open Sans" w:hAnsi="Open Sans" w:cs="Open Sans"/>
          <w:b/>
        </w:rPr>
        <w:t xml:space="preserve">olicy </w:t>
      </w:r>
      <w:r w:rsidRPr="00252DB9">
        <w:rPr>
          <w:rFonts w:ascii="Open Sans" w:hAnsi="Open Sans" w:cs="Open Sans"/>
          <w:b/>
          <w:color w:val="2F5496"/>
        </w:rPr>
        <w:t>Templates</w:t>
      </w:r>
    </w:p>
    <w:p w14:paraId="3D8D694D" w14:textId="27757686" w:rsidR="00DD3A2C" w:rsidRDefault="00DD3A2C" w:rsidP="008946BA">
      <w:pPr>
        <w:jc w:val="left"/>
        <w:rPr>
          <w:rFonts w:ascii="Arial" w:hAnsi="Arial" w:cs="Arial"/>
          <w:color w:val="466DB0"/>
          <w:sz w:val="18"/>
          <w:szCs w:val="18"/>
        </w:rPr>
      </w:pPr>
    </w:p>
    <w:p w14:paraId="6A7B0C8A" w14:textId="77777777" w:rsidR="00416FBA" w:rsidRPr="00416FBA" w:rsidRDefault="00416FBA" w:rsidP="00416FBA">
      <w:pPr>
        <w:pStyle w:val="Heading2"/>
        <w:rPr>
          <w:color w:val="3C466D"/>
          <w:sz w:val="44"/>
          <w:szCs w:val="44"/>
        </w:rPr>
      </w:pPr>
      <w:bookmarkStart w:id="0" w:name="_Toc448745971"/>
      <w:bookmarkStart w:id="1" w:name="_Toc448754277"/>
      <w:bookmarkStart w:id="2" w:name="_Toc511315155"/>
      <w:bookmarkStart w:id="3" w:name="_Toc29910058"/>
      <w:bookmarkStart w:id="4" w:name="_Toc29910857"/>
      <w:r w:rsidRPr="00416FBA">
        <w:rPr>
          <w:sz w:val="44"/>
          <w:szCs w:val="44"/>
        </w:rPr>
        <w:t>Legislation</w:t>
      </w:r>
      <w:bookmarkEnd w:id="0"/>
      <w:bookmarkEnd w:id="1"/>
      <w:bookmarkEnd w:id="2"/>
      <w:bookmarkEnd w:id="3"/>
      <w:bookmarkEnd w:id="4"/>
    </w:p>
    <w:p w14:paraId="0D9CF18A" w14:textId="77777777" w:rsidR="00416FBA" w:rsidRPr="00F72572" w:rsidRDefault="00416FBA" w:rsidP="00416FBA">
      <w:r>
        <w:t>Schools</w:t>
      </w:r>
      <w:r w:rsidRPr="00F72572">
        <w:t xml:space="preserve"> should be aware of the legislative framework under which this </w:t>
      </w:r>
      <w:r>
        <w:t>o</w:t>
      </w:r>
      <w:r w:rsidRPr="00F72572">
        <w:t xml:space="preserve">nline </w:t>
      </w:r>
      <w:r>
        <w:t>s</w:t>
      </w:r>
      <w:r w:rsidRPr="00F72572">
        <w:t xml:space="preserve">afety </w:t>
      </w:r>
      <w:r>
        <w:t>p</w:t>
      </w:r>
      <w:r w:rsidRPr="00F72572">
        <w:t xml:space="preserve">olicy template and guidance has been produced. It is important to note that in general terms an action that is illegal if committed offline is also illegal if committed online. </w:t>
      </w:r>
    </w:p>
    <w:p w14:paraId="58EAE1B8" w14:textId="77777777" w:rsidR="00416FBA" w:rsidRDefault="00416FBA" w:rsidP="00416FBA">
      <w:r w:rsidRPr="00F72572">
        <w:t>It is recommended that legal advice is sought in the advent of an online safety issue or situation.</w:t>
      </w:r>
    </w:p>
    <w:p w14:paraId="45E23E96" w14:textId="77777777" w:rsidR="00416FBA" w:rsidRPr="006303D8" w:rsidRDefault="00416FBA" w:rsidP="00416FBA">
      <w:pPr>
        <w:spacing w:after="160" w:line="259" w:lineRule="auto"/>
        <w:jc w:val="left"/>
        <w:rPr>
          <w:color w:val="2F5496" w:themeColor="accent1" w:themeShade="BF"/>
        </w:rPr>
      </w:pPr>
      <w:r>
        <w:t xml:space="preserve">A useful summary of relevant legislation can be found at: </w:t>
      </w:r>
      <w:hyperlink r:id="rId7">
        <w:r w:rsidRPr="006303D8">
          <w:rPr>
            <w:rStyle w:val="Hyperlink"/>
            <w:color w:val="2F5496" w:themeColor="accent1" w:themeShade="BF"/>
          </w:rPr>
          <w:t>Report Harmful Content: Laws about harmful behaviours</w:t>
        </w:r>
      </w:hyperlink>
    </w:p>
    <w:p w14:paraId="1387EC2B" w14:textId="77777777" w:rsidR="00416FBA" w:rsidRPr="00F72572" w:rsidRDefault="00416FBA" w:rsidP="00416FBA"/>
    <w:p w14:paraId="607BE1C5" w14:textId="77777777" w:rsidR="00416FBA" w:rsidRPr="00F72572" w:rsidRDefault="00416FBA" w:rsidP="00416FBA">
      <w:pPr>
        <w:pStyle w:val="Heading3"/>
      </w:pPr>
      <w:bookmarkStart w:id="5" w:name="_Toc448745972"/>
      <w:bookmarkStart w:id="6" w:name="_Toc448754278"/>
      <w:bookmarkStart w:id="7" w:name="_Toc25747769"/>
      <w:r w:rsidRPr="00F72572">
        <w:t>Computer Misuse Act 1990</w:t>
      </w:r>
      <w:bookmarkEnd w:id="5"/>
      <w:bookmarkEnd w:id="6"/>
      <w:bookmarkEnd w:id="7"/>
    </w:p>
    <w:p w14:paraId="0B912C98" w14:textId="77777777" w:rsidR="00416FBA" w:rsidRPr="00F72572" w:rsidRDefault="00416FBA" w:rsidP="00416FBA">
      <w:r w:rsidRPr="00F72572">
        <w:t>This Act makes it an offence to:</w:t>
      </w:r>
    </w:p>
    <w:p w14:paraId="5B687784" w14:textId="77777777" w:rsidR="00416FBA" w:rsidRPr="00F72572" w:rsidRDefault="00416FBA">
      <w:pPr>
        <w:pStyle w:val="ListParagraph"/>
        <w:numPr>
          <w:ilvl w:val="0"/>
          <w:numId w:val="1"/>
        </w:numPr>
        <w:spacing w:after="0"/>
        <w:ind w:left="567" w:hanging="283"/>
      </w:pPr>
      <w:r w:rsidRPr="00F72572">
        <w:t xml:space="preserve">Erase or amend data or programs without </w:t>
      </w:r>
      <w:proofErr w:type="gramStart"/>
      <w:r w:rsidRPr="00F72572">
        <w:t>authority;</w:t>
      </w:r>
      <w:proofErr w:type="gramEnd"/>
    </w:p>
    <w:p w14:paraId="51BDFAEA" w14:textId="77777777" w:rsidR="00416FBA" w:rsidRPr="00F72572" w:rsidRDefault="00416FBA">
      <w:pPr>
        <w:pStyle w:val="ListParagraph"/>
        <w:numPr>
          <w:ilvl w:val="0"/>
          <w:numId w:val="1"/>
        </w:numPr>
        <w:spacing w:after="0"/>
        <w:ind w:left="567" w:hanging="283"/>
      </w:pPr>
      <w:r w:rsidRPr="00F72572">
        <w:t xml:space="preserve">Obtain unauthorised access to a </w:t>
      </w:r>
      <w:proofErr w:type="gramStart"/>
      <w:r w:rsidRPr="00F72572">
        <w:t>computer;</w:t>
      </w:r>
      <w:proofErr w:type="gramEnd"/>
    </w:p>
    <w:p w14:paraId="004FB56F" w14:textId="77777777" w:rsidR="00416FBA" w:rsidRPr="00F72572" w:rsidRDefault="00416FBA">
      <w:pPr>
        <w:pStyle w:val="ListParagraph"/>
        <w:numPr>
          <w:ilvl w:val="0"/>
          <w:numId w:val="1"/>
        </w:numPr>
        <w:spacing w:after="0"/>
        <w:ind w:left="567" w:hanging="283"/>
      </w:pPr>
      <w:r w:rsidRPr="00F72572">
        <w:t xml:space="preserve">“Eavesdrop” on a </w:t>
      </w:r>
      <w:proofErr w:type="gramStart"/>
      <w:r w:rsidRPr="00F72572">
        <w:t>computer;</w:t>
      </w:r>
      <w:proofErr w:type="gramEnd"/>
    </w:p>
    <w:p w14:paraId="0CF00F50" w14:textId="77777777" w:rsidR="00416FBA" w:rsidRPr="00F72572" w:rsidRDefault="00416FBA">
      <w:pPr>
        <w:pStyle w:val="ListParagraph"/>
        <w:numPr>
          <w:ilvl w:val="0"/>
          <w:numId w:val="1"/>
        </w:numPr>
        <w:spacing w:after="0"/>
        <w:ind w:left="567" w:hanging="283"/>
      </w:pPr>
      <w:r w:rsidRPr="00F72572">
        <w:t xml:space="preserve">Make unauthorised use of computer time or </w:t>
      </w:r>
      <w:proofErr w:type="gramStart"/>
      <w:r w:rsidRPr="00F72572">
        <w:t>facilities;</w:t>
      </w:r>
      <w:proofErr w:type="gramEnd"/>
    </w:p>
    <w:p w14:paraId="70881513" w14:textId="77777777" w:rsidR="00416FBA" w:rsidRPr="00F72572" w:rsidRDefault="00416FBA">
      <w:pPr>
        <w:pStyle w:val="ListParagraph"/>
        <w:numPr>
          <w:ilvl w:val="0"/>
          <w:numId w:val="1"/>
        </w:numPr>
        <w:spacing w:after="0"/>
        <w:ind w:left="567" w:hanging="283"/>
      </w:pPr>
      <w:r w:rsidRPr="00F72572">
        <w:t xml:space="preserve">Maliciously corrupt or erase data or </w:t>
      </w:r>
      <w:proofErr w:type="gramStart"/>
      <w:r w:rsidRPr="00F72572">
        <w:t>programs;</w:t>
      </w:r>
      <w:proofErr w:type="gramEnd"/>
    </w:p>
    <w:p w14:paraId="2F9D7E25" w14:textId="77777777" w:rsidR="00416FBA" w:rsidRPr="00F72572" w:rsidRDefault="00416FBA">
      <w:pPr>
        <w:pStyle w:val="ListParagraph"/>
        <w:numPr>
          <w:ilvl w:val="0"/>
          <w:numId w:val="1"/>
        </w:numPr>
        <w:spacing w:after="0"/>
        <w:ind w:left="567" w:hanging="283"/>
      </w:pPr>
      <w:r w:rsidRPr="00F72572">
        <w:t>Deny access to authorised users.</w:t>
      </w:r>
    </w:p>
    <w:p w14:paraId="47FD0C8F" w14:textId="77777777" w:rsidR="00416FBA" w:rsidRPr="00F72572" w:rsidRDefault="00416FBA" w:rsidP="00416FBA">
      <w:r w:rsidRPr="00F72572">
        <w:t>School</w:t>
      </w:r>
      <w:r>
        <w:t>s</w:t>
      </w:r>
      <w:r w:rsidRPr="00F72572">
        <w:t xml:space="preserve"> may wish to view the National Crime Agency website which includes information about </w:t>
      </w:r>
      <w:hyperlink r:id="rId8" w:history="1">
        <w:r w:rsidRPr="00E301E9">
          <w:rPr>
            <w:rStyle w:val="Hyperlink1"/>
          </w:rPr>
          <w:t>“</w:t>
        </w:r>
        <w:proofErr w:type="spellStart"/>
        <w:r w:rsidRPr="00E301E9">
          <w:rPr>
            <w:rStyle w:val="Hyperlink1"/>
          </w:rPr>
          <w:t>Cyber crime</w:t>
        </w:r>
        <w:proofErr w:type="spellEnd"/>
        <w:r w:rsidRPr="00E301E9">
          <w:rPr>
            <w:rStyle w:val="Hyperlink1"/>
          </w:rPr>
          <w:t xml:space="preserve"> – preventing young people from getting involved”</w:t>
        </w:r>
      </w:hyperlink>
      <w:r w:rsidRPr="00F72572">
        <w:t xml:space="preserve">.  Each region in England (&amp; Wales) has a Regional Organised Crime Unit (ROCU) Cyber-Prevent team that works with schools to encourage young people to make positive use of their cyber skills.  There is a useful </w:t>
      </w:r>
      <w:hyperlink r:id="rId9" w:history="1">
        <w:r w:rsidRPr="00E301E9">
          <w:rPr>
            <w:rStyle w:val="Hyperlink1"/>
          </w:rPr>
          <w:t>summary of the Act on the NCA site</w:t>
        </w:r>
      </w:hyperlink>
      <w:r w:rsidRPr="00F72572">
        <w:t>.</w:t>
      </w:r>
    </w:p>
    <w:p w14:paraId="51D7AFDA" w14:textId="77777777" w:rsidR="00416FBA" w:rsidRPr="00F72572" w:rsidRDefault="00416FBA" w:rsidP="00416FBA">
      <w:pPr>
        <w:pStyle w:val="Heading3"/>
      </w:pPr>
      <w:bookmarkStart w:id="8" w:name="_Toc448745973"/>
      <w:bookmarkStart w:id="9" w:name="_Toc448754279"/>
      <w:bookmarkStart w:id="10" w:name="_Toc25747770"/>
      <w:r w:rsidRPr="00F72572">
        <w:t>Data Protection Act 1998</w:t>
      </w:r>
      <w:bookmarkEnd w:id="8"/>
      <w:bookmarkEnd w:id="9"/>
      <w:bookmarkEnd w:id="10"/>
    </w:p>
    <w:p w14:paraId="5A82193B" w14:textId="77777777" w:rsidR="00416FBA" w:rsidRPr="00F72572" w:rsidRDefault="00416FBA" w:rsidP="00416FBA">
      <w:r w:rsidRPr="00F72572">
        <w:t>This protects the rights and privacy of individual’s data. To comply with the law, information about individuals must be collected and used fairly, stored safely and securely and not disclosed to any third party unlawfully. The Act states that person data must be:</w:t>
      </w:r>
    </w:p>
    <w:p w14:paraId="4C0EE0DF" w14:textId="77777777" w:rsidR="00416FBA" w:rsidRPr="00F72572" w:rsidRDefault="00416FBA">
      <w:pPr>
        <w:pStyle w:val="ListParagraph"/>
        <w:numPr>
          <w:ilvl w:val="0"/>
          <w:numId w:val="1"/>
        </w:numPr>
        <w:spacing w:after="0"/>
        <w:ind w:left="567" w:hanging="284"/>
      </w:pPr>
      <w:r w:rsidRPr="00F72572">
        <w:t>Fairly and lawfully processed.</w:t>
      </w:r>
    </w:p>
    <w:p w14:paraId="71D5AF30" w14:textId="77777777" w:rsidR="00416FBA" w:rsidRPr="00F72572" w:rsidRDefault="00416FBA">
      <w:pPr>
        <w:pStyle w:val="ListParagraph"/>
        <w:numPr>
          <w:ilvl w:val="0"/>
          <w:numId w:val="1"/>
        </w:numPr>
        <w:spacing w:after="0"/>
        <w:ind w:left="567" w:hanging="284"/>
      </w:pPr>
      <w:r w:rsidRPr="00F72572">
        <w:t>Processed for limited purposes.</w:t>
      </w:r>
    </w:p>
    <w:p w14:paraId="2DAEBF06" w14:textId="77777777" w:rsidR="00416FBA" w:rsidRPr="00F72572" w:rsidRDefault="00416FBA">
      <w:pPr>
        <w:pStyle w:val="ListParagraph"/>
        <w:numPr>
          <w:ilvl w:val="0"/>
          <w:numId w:val="1"/>
        </w:numPr>
        <w:spacing w:after="0"/>
        <w:ind w:left="567" w:hanging="284"/>
      </w:pPr>
      <w:r w:rsidRPr="00F72572">
        <w:t xml:space="preserve">Adequate, </w:t>
      </w:r>
      <w:proofErr w:type="gramStart"/>
      <w:r w:rsidRPr="00F72572">
        <w:t>relevant</w:t>
      </w:r>
      <w:proofErr w:type="gramEnd"/>
      <w:r w:rsidRPr="00F72572">
        <w:t xml:space="preserve"> and not excessive.</w:t>
      </w:r>
    </w:p>
    <w:p w14:paraId="23E302F4" w14:textId="77777777" w:rsidR="00416FBA" w:rsidRPr="00F72572" w:rsidRDefault="00416FBA">
      <w:pPr>
        <w:pStyle w:val="ListParagraph"/>
        <w:numPr>
          <w:ilvl w:val="0"/>
          <w:numId w:val="1"/>
        </w:numPr>
        <w:spacing w:after="0"/>
        <w:ind w:left="567" w:hanging="284"/>
      </w:pPr>
      <w:r w:rsidRPr="00F72572">
        <w:t>Accurate.</w:t>
      </w:r>
    </w:p>
    <w:p w14:paraId="56F4FFD7" w14:textId="77777777" w:rsidR="00416FBA" w:rsidRPr="00F72572" w:rsidRDefault="00416FBA">
      <w:pPr>
        <w:pStyle w:val="ListParagraph"/>
        <w:numPr>
          <w:ilvl w:val="0"/>
          <w:numId w:val="1"/>
        </w:numPr>
        <w:spacing w:after="0"/>
        <w:ind w:left="567" w:hanging="284"/>
      </w:pPr>
      <w:r w:rsidRPr="00F72572">
        <w:t>Not kept longer than necessary.</w:t>
      </w:r>
    </w:p>
    <w:p w14:paraId="1007B399" w14:textId="77777777" w:rsidR="00416FBA" w:rsidRPr="00F72572" w:rsidRDefault="00416FBA">
      <w:pPr>
        <w:pStyle w:val="ListParagraph"/>
        <w:numPr>
          <w:ilvl w:val="0"/>
          <w:numId w:val="1"/>
        </w:numPr>
        <w:spacing w:after="0"/>
        <w:ind w:left="567" w:hanging="284"/>
      </w:pPr>
      <w:r w:rsidRPr="00F72572">
        <w:t>Processed in accordance with the data subject’s rights.</w:t>
      </w:r>
    </w:p>
    <w:p w14:paraId="1281BBEB" w14:textId="77777777" w:rsidR="00416FBA" w:rsidRPr="00F72572" w:rsidRDefault="00416FBA">
      <w:pPr>
        <w:pStyle w:val="ListParagraph"/>
        <w:numPr>
          <w:ilvl w:val="0"/>
          <w:numId w:val="1"/>
        </w:numPr>
        <w:spacing w:after="0"/>
        <w:ind w:left="567" w:hanging="284"/>
      </w:pPr>
      <w:r w:rsidRPr="00F72572">
        <w:t>Secure.</w:t>
      </w:r>
    </w:p>
    <w:p w14:paraId="1612D6DA" w14:textId="77777777" w:rsidR="00416FBA" w:rsidRPr="00F72572" w:rsidRDefault="00416FBA">
      <w:pPr>
        <w:pStyle w:val="ListParagraph"/>
        <w:numPr>
          <w:ilvl w:val="0"/>
          <w:numId w:val="1"/>
        </w:numPr>
        <w:spacing w:after="0"/>
        <w:ind w:left="567" w:hanging="284"/>
      </w:pPr>
      <w:r w:rsidRPr="00F72572">
        <w:t>Not transferred to other countries without adequate protection.</w:t>
      </w:r>
    </w:p>
    <w:p w14:paraId="6BC930AD" w14:textId="77777777" w:rsidR="00416FBA" w:rsidRPr="006F02AD" w:rsidRDefault="00416FBA" w:rsidP="00416FBA">
      <w:pPr>
        <w:pStyle w:val="Heading3"/>
      </w:pPr>
      <w:bookmarkStart w:id="11" w:name="_Toc25747771"/>
      <w:r w:rsidRPr="006F02AD">
        <w:t>The Data Protection Act 2018:</w:t>
      </w:r>
      <w:bookmarkEnd w:id="11"/>
    </w:p>
    <w:p w14:paraId="205D41A1" w14:textId="77777777" w:rsidR="00416FBA" w:rsidRPr="002136AA" w:rsidRDefault="00416FBA" w:rsidP="00416FBA">
      <w:pPr>
        <w:pStyle w:val="Heading4"/>
      </w:pPr>
      <w:r w:rsidRPr="002136AA">
        <w:t>Updates the 1998 Act, incorporates the General Data Protection Regulations (GDPR</w:t>
      </w:r>
      <w:proofErr w:type="gramStart"/>
      <w:r w:rsidRPr="002136AA">
        <w:t>)</w:t>
      </w:r>
      <w:proofErr w:type="gramEnd"/>
      <w:r w:rsidRPr="002136AA">
        <w:t xml:space="preserve"> and aims to:</w:t>
      </w:r>
    </w:p>
    <w:p w14:paraId="34AB7CCE" w14:textId="77777777" w:rsidR="00416FBA" w:rsidRPr="00996A42" w:rsidRDefault="00416FBA">
      <w:pPr>
        <w:pStyle w:val="ListParagraph"/>
        <w:numPr>
          <w:ilvl w:val="0"/>
          <w:numId w:val="1"/>
        </w:numPr>
        <w:spacing w:after="0"/>
        <w:ind w:left="567" w:hanging="284"/>
      </w:pPr>
      <w:r>
        <w:t>Facilitate the secure transfer of information within the European Union.</w:t>
      </w:r>
    </w:p>
    <w:p w14:paraId="31DFB0F8" w14:textId="77777777" w:rsidR="00416FBA" w:rsidRPr="004946F4" w:rsidRDefault="00416FBA">
      <w:pPr>
        <w:pStyle w:val="ListParagraph"/>
        <w:numPr>
          <w:ilvl w:val="0"/>
          <w:numId w:val="1"/>
        </w:numPr>
        <w:spacing w:after="0"/>
        <w:ind w:left="567" w:hanging="284"/>
      </w:pPr>
      <w:r w:rsidRPr="006F02AD">
        <w:rPr>
          <w:rFonts w:cs="Open Sans Light"/>
          <w:color w:val="303030"/>
        </w:rPr>
        <w:lastRenderedPageBreak/>
        <w:t xml:space="preserve">Prevent people </w:t>
      </w:r>
      <w:r w:rsidRPr="004946F4">
        <w:t xml:space="preserve">or organisations from holding and using inaccurate information on individuals. This applies to information regarding both private lives </w:t>
      </w:r>
      <w:proofErr w:type="gramStart"/>
      <w:r w:rsidRPr="004946F4">
        <w:t>or</w:t>
      </w:r>
      <w:proofErr w:type="gramEnd"/>
      <w:r w:rsidRPr="004946F4">
        <w:t xml:space="preserve"> business.</w:t>
      </w:r>
    </w:p>
    <w:p w14:paraId="6D94F488" w14:textId="77777777" w:rsidR="00416FBA" w:rsidRPr="004946F4" w:rsidRDefault="00416FBA">
      <w:pPr>
        <w:pStyle w:val="ListParagraph"/>
        <w:numPr>
          <w:ilvl w:val="0"/>
          <w:numId w:val="1"/>
        </w:numPr>
        <w:spacing w:after="0"/>
        <w:ind w:left="567" w:hanging="284"/>
      </w:pPr>
      <w:r w:rsidRPr="004946F4">
        <w:t>Give the public confidence about how businesses can use their personal information.</w:t>
      </w:r>
    </w:p>
    <w:p w14:paraId="0675E877" w14:textId="77777777" w:rsidR="00416FBA" w:rsidRPr="004946F4" w:rsidRDefault="00416FBA">
      <w:pPr>
        <w:pStyle w:val="ListParagraph"/>
        <w:numPr>
          <w:ilvl w:val="0"/>
          <w:numId w:val="1"/>
        </w:numPr>
        <w:spacing w:after="0"/>
        <w:ind w:left="567" w:hanging="284"/>
      </w:pPr>
      <w:r w:rsidRPr="004946F4">
        <w:t>Provide data subjects with the legal right to check the information businesses hold about them. They can also request for the data controller to destroy it.</w:t>
      </w:r>
    </w:p>
    <w:p w14:paraId="7463D5CC" w14:textId="77777777" w:rsidR="00416FBA" w:rsidRPr="004946F4" w:rsidRDefault="00416FBA">
      <w:pPr>
        <w:pStyle w:val="ListParagraph"/>
        <w:numPr>
          <w:ilvl w:val="0"/>
          <w:numId w:val="1"/>
        </w:numPr>
        <w:spacing w:after="0"/>
        <w:ind w:left="567" w:hanging="284"/>
      </w:pPr>
      <w:r w:rsidRPr="004946F4">
        <w:t>Give data subjects greater control over how data controllers handle their data.</w:t>
      </w:r>
    </w:p>
    <w:p w14:paraId="350DF8A2" w14:textId="77777777" w:rsidR="00416FBA" w:rsidRPr="004946F4" w:rsidRDefault="00416FBA">
      <w:pPr>
        <w:pStyle w:val="ListParagraph"/>
        <w:numPr>
          <w:ilvl w:val="0"/>
          <w:numId w:val="1"/>
        </w:numPr>
        <w:spacing w:after="0"/>
        <w:ind w:left="567" w:hanging="284"/>
      </w:pPr>
      <w:r w:rsidRPr="004946F4">
        <w:t>Place emphasis on accountability. This requires businesses to have processes in place that demonstrate how they’re securely handling data.</w:t>
      </w:r>
    </w:p>
    <w:p w14:paraId="74082CB3" w14:textId="77777777" w:rsidR="00416FBA" w:rsidRPr="004946F4" w:rsidRDefault="00416FBA">
      <w:pPr>
        <w:pStyle w:val="ListParagraph"/>
        <w:numPr>
          <w:ilvl w:val="0"/>
          <w:numId w:val="1"/>
        </w:numPr>
        <w:spacing w:after="0"/>
        <w:ind w:left="567" w:hanging="284"/>
      </w:pPr>
      <w:r w:rsidRPr="004946F4">
        <w:t>Require firms to keep people’s personal data safe and secure. Data controllers must ensure that it is not misused.</w:t>
      </w:r>
    </w:p>
    <w:p w14:paraId="78A7C4A9" w14:textId="77777777" w:rsidR="00416FBA" w:rsidRPr="006F02AD" w:rsidRDefault="00416FBA">
      <w:pPr>
        <w:pStyle w:val="ListParagraph"/>
        <w:numPr>
          <w:ilvl w:val="0"/>
          <w:numId w:val="1"/>
        </w:numPr>
        <w:spacing w:after="0"/>
        <w:ind w:left="567" w:hanging="284"/>
        <w:rPr>
          <w:rFonts w:cs="Open Sans Light"/>
          <w:color w:val="303030"/>
        </w:rPr>
      </w:pPr>
      <w:r w:rsidRPr="004946F4">
        <w:t>Require the data user</w:t>
      </w:r>
      <w:r w:rsidRPr="006F02AD">
        <w:rPr>
          <w:rFonts w:cs="Open Sans Light"/>
          <w:color w:val="303030"/>
        </w:rPr>
        <w:t xml:space="preserve"> or holder to register with the Information Commissioner.</w:t>
      </w:r>
    </w:p>
    <w:p w14:paraId="57308E7D" w14:textId="77777777" w:rsidR="00416FBA" w:rsidRPr="006F02AD" w:rsidRDefault="00416FBA" w:rsidP="00416FBA">
      <w:pPr>
        <w:pStyle w:val="Heading4"/>
      </w:pPr>
      <w:r w:rsidRPr="006F02AD">
        <w:t xml:space="preserve">All data subjects have </w:t>
      </w:r>
      <w:r w:rsidRPr="00CE4A8E">
        <w:t>the</w:t>
      </w:r>
      <w:r w:rsidRPr="006F02AD">
        <w:t xml:space="preserve"> right to:</w:t>
      </w:r>
    </w:p>
    <w:p w14:paraId="7CD73E6D" w14:textId="77777777" w:rsidR="00416FBA" w:rsidRPr="004946F4" w:rsidRDefault="00416FBA">
      <w:pPr>
        <w:pStyle w:val="ListParagraph"/>
        <w:numPr>
          <w:ilvl w:val="0"/>
          <w:numId w:val="1"/>
        </w:numPr>
        <w:spacing w:after="0"/>
        <w:ind w:left="567" w:hanging="284"/>
      </w:pPr>
      <w:r w:rsidRPr="006F02AD">
        <w:rPr>
          <w:rFonts w:cs="Open Sans Light"/>
          <w:color w:val="303030"/>
        </w:rPr>
        <w:t xml:space="preserve">Receive clear </w:t>
      </w:r>
      <w:r w:rsidRPr="004946F4">
        <w:t>information about what you will use their data for.</w:t>
      </w:r>
    </w:p>
    <w:p w14:paraId="6882E6D0" w14:textId="77777777" w:rsidR="00416FBA" w:rsidRPr="004946F4" w:rsidRDefault="00416FBA">
      <w:pPr>
        <w:pStyle w:val="ListParagraph"/>
        <w:numPr>
          <w:ilvl w:val="0"/>
          <w:numId w:val="1"/>
        </w:numPr>
        <w:spacing w:after="0"/>
        <w:ind w:left="567" w:hanging="284"/>
      </w:pPr>
      <w:r w:rsidRPr="004946F4">
        <w:t>Access their own personal information.</w:t>
      </w:r>
    </w:p>
    <w:p w14:paraId="00DDA64A" w14:textId="77777777" w:rsidR="00416FBA" w:rsidRPr="004946F4" w:rsidRDefault="00416FBA">
      <w:pPr>
        <w:pStyle w:val="ListParagraph"/>
        <w:numPr>
          <w:ilvl w:val="0"/>
          <w:numId w:val="1"/>
        </w:numPr>
        <w:spacing w:after="0"/>
        <w:ind w:left="567" w:hanging="284"/>
      </w:pPr>
      <w:r w:rsidRPr="004946F4">
        <w:t>Request for their data to be revised if out of date or erased. These are known as the right to rectification and the right to erasure</w:t>
      </w:r>
    </w:p>
    <w:p w14:paraId="52410780" w14:textId="77777777" w:rsidR="00416FBA" w:rsidRPr="004946F4" w:rsidRDefault="00416FBA">
      <w:pPr>
        <w:pStyle w:val="ListParagraph"/>
        <w:numPr>
          <w:ilvl w:val="0"/>
          <w:numId w:val="1"/>
        </w:numPr>
        <w:spacing w:after="0"/>
        <w:ind w:left="567" w:hanging="284"/>
      </w:pPr>
      <w:r w:rsidRPr="004946F4">
        <w:t>Request information about the reasoning behind any automated decisions, such as if computer software denies them access to a loan.</w:t>
      </w:r>
    </w:p>
    <w:p w14:paraId="23C99032" w14:textId="77777777" w:rsidR="00416FBA" w:rsidRPr="006F02AD" w:rsidRDefault="00416FBA">
      <w:pPr>
        <w:pStyle w:val="ListParagraph"/>
        <w:numPr>
          <w:ilvl w:val="0"/>
          <w:numId w:val="1"/>
        </w:numPr>
        <w:spacing w:after="0"/>
        <w:ind w:left="567" w:hanging="284"/>
        <w:rPr>
          <w:rFonts w:cs="Open Sans Light"/>
          <w:color w:val="303030"/>
        </w:rPr>
      </w:pPr>
      <w:r w:rsidRPr="004946F4">
        <w:t>Prevent or query about</w:t>
      </w:r>
      <w:r w:rsidRPr="006F02AD">
        <w:rPr>
          <w:rFonts w:cs="Open Sans Light"/>
          <w:color w:val="303030"/>
        </w:rPr>
        <w:t xml:space="preserve"> the automated processing of their personal data.</w:t>
      </w:r>
    </w:p>
    <w:p w14:paraId="06AD932D" w14:textId="77777777" w:rsidR="00416FBA" w:rsidRPr="00F72572" w:rsidRDefault="00416FBA" w:rsidP="00416FBA">
      <w:pPr>
        <w:pStyle w:val="Heading3"/>
      </w:pPr>
      <w:bookmarkStart w:id="12" w:name="_Toc448745974"/>
      <w:bookmarkStart w:id="13" w:name="_Toc448754280"/>
      <w:bookmarkStart w:id="14" w:name="_Toc25747772"/>
      <w:r w:rsidRPr="00F72572">
        <w:t>Freedom of Information Act 2000</w:t>
      </w:r>
      <w:bookmarkEnd w:id="12"/>
      <w:bookmarkEnd w:id="13"/>
      <w:bookmarkEnd w:id="14"/>
    </w:p>
    <w:p w14:paraId="4BF3E3FD" w14:textId="77777777" w:rsidR="00416FBA" w:rsidRPr="00F72572" w:rsidRDefault="00416FBA" w:rsidP="00416FBA">
      <w:r w:rsidRPr="00F72572">
        <w:t xml:space="preserve">The Freedom of Information Act gives individuals the right to request information held by public authorities. All public authorities and companies wholly owned by public authorities have obligations under the Freedom of Information Act. When responding to requests, they </w:t>
      </w:r>
      <w:proofErr w:type="gramStart"/>
      <w:r w:rsidRPr="00F72572">
        <w:t>have to</w:t>
      </w:r>
      <w:proofErr w:type="gramEnd"/>
      <w:r w:rsidRPr="00F72572">
        <w:t xml:space="preserve"> follow a number of set procedures.</w:t>
      </w:r>
    </w:p>
    <w:p w14:paraId="667E350D" w14:textId="77777777" w:rsidR="00416FBA" w:rsidRPr="00F72572" w:rsidRDefault="00416FBA" w:rsidP="00416FBA">
      <w:pPr>
        <w:pStyle w:val="Heading3"/>
      </w:pPr>
      <w:bookmarkStart w:id="15" w:name="_Toc448745975"/>
      <w:bookmarkStart w:id="16" w:name="_Toc448754281"/>
      <w:bookmarkStart w:id="17" w:name="_Toc25747773"/>
      <w:r w:rsidRPr="00F72572">
        <w:t>Communications Act 2003</w:t>
      </w:r>
      <w:bookmarkEnd w:id="15"/>
      <w:bookmarkEnd w:id="16"/>
      <w:bookmarkEnd w:id="17"/>
    </w:p>
    <w:p w14:paraId="12C63341" w14:textId="77777777" w:rsidR="00416FBA" w:rsidRPr="00F72572" w:rsidRDefault="00416FBA" w:rsidP="00416FBA">
      <w:r w:rsidRPr="00F72572">
        <w:t xml:space="preserve">Sending by means of the Internet a message or other matter that is grossly offensive or of an indecent, </w:t>
      </w:r>
      <w:proofErr w:type="gramStart"/>
      <w:r w:rsidRPr="00F72572">
        <w:t>obscene</w:t>
      </w:r>
      <w:proofErr w:type="gramEnd"/>
      <w:r w:rsidRPr="00F72572">
        <w:t xml:space="preserve"> or menacing character; or sending a false message by means of or persistently making use of the Internet for the purpose of causing annoyance, inconvenience or needless anxiety is guilty of an offence liable, on conviction, to imprisonment. This wording is important because an offence is complete as soon as the message has been </w:t>
      </w:r>
      <w:proofErr w:type="gramStart"/>
      <w:r w:rsidRPr="00F72572">
        <w:t>sent:</w:t>
      </w:r>
      <w:proofErr w:type="gramEnd"/>
      <w:r w:rsidRPr="00F72572">
        <w:t xml:space="preserve"> there is no need to prove any intent or purpose.</w:t>
      </w:r>
    </w:p>
    <w:p w14:paraId="58A8FDEF" w14:textId="77777777" w:rsidR="00416FBA" w:rsidRPr="00F72572" w:rsidRDefault="00416FBA" w:rsidP="00416FBA">
      <w:pPr>
        <w:pStyle w:val="Heading3"/>
      </w:pPr>
      <w:bookmarkStart w:id="18" w:name="_Toc448745976"/>
      <w:bookmarkStart w:id="19" w:name="_Toc448754282"/>
      <w:bookmarkStart w:id="20" w:name="_Toc25747774"/>
      <w:r w:rsidRPr="00F72572">
        <w:t>Malicious Communications Act 1988</w:t>
      </w:r>
      <w:bookmarkEnd w:id="18"/>
      <w:bookmarkEnd w:id="19"/>
      <w:bookmarkEnd w:id="20"/>
    </w:p>
    <w:p w14:paraId="662291F0" w14:textId="77777777" w:rsidR="00416FBA" w:rsidRPr="00F72572" w:rsidRDefault="00416FBA" w:rsidP="00416FBA">
      <w:r w:rsidRPr="00F72572">
        <w:t xml:space="preserve">It is an offence to send an indecent, offensive, or threatening letter, electronic communication or </w:t>
      </w:r>
      <w:proofErr w:type="gramStart"/>
      <w:r w:rsidRPr="00F72572">
        <w:t>other</w:t>
      </w:r>
      <w:proofErr w:type="gramEnd"/>
      <w:r w:rsidRPr="00F72572">
        <w:t xml:space="preserve"> article to another person.</w:t>
      </w:r>
    </w:p>
    <w:p w14:paraId="57459567" w14:textId="77777777" w:rsidR="00416FBA" w:rsidRPr="00F72572" w:rsidRDefault="00416FBA" w:rsidP="00416FBA">
      <w:pPr>
        <w:pStyle w:val="Heading3"/>
      </w:pPr>
      <w:bookmarkStart w:id="21" w:name="_Toc448745977"/>
      <w:bookmarkStart w:id="22" w:name="_Toc448754283"/>
      <w:bookmarkStart w:id="23" w:name="_Toc25747775"/>
      <w:r w:rsidRPr="00F72572">
        <w:t>Regulation of Investigatory Powers Act 2000</w:t>
      </w:r>
      <w:bookmarkEnd w:id="21"/>
      <w:bookmarkEnd w:id="22"/>
      <w:bookmarkEnd w:id="23"/>
    </w:p>
    <w:p w14:paraId="23817BDE" w14:textId="77777777" w:rsidR="00416FBA" w:rsidRPr="00F72572" w:rsidRDefault="00416FBA" w:rsidP="00416FBA">
      <w:r w:rsidRPr="00F72572">
        <w:t xml:space="preserve">It is an offence for any person to intentionally and without lawful authority intercept any communication. Monitoring or keeping a record of any form of electronic communications is permitted, </w:t>
      </w:r>
      <w:proofErr w:type="gramStart"/>
      <w:r w:rsidRPr="00F72572">
        <w:t>in order to</w:t>
      </w:r>
      <w:proofErr w:type="gramEnd"/>
      <w:r w:rsidRPr="00F72572">
        <w:t>:</w:t>
      </w:r>
    </w:p>
    <w:p w14:paraId="3979B942" w14:textId="77777777" w:rsidR="00416FBA" w:rsidRPr="00F72572" w:rsidRDefault="00416FBA">
      <w:pPr>
        <w:pStyle w:val="ListParagraph"/>
        <w:numPr>
          <w:ilvl w:val="0"/>
          <w:numId w:val="2"/>
        </w:numPr>
        <w:spacing w:after="0"/>
        <w:ind w:left="567" w:hanging="283"/>
      </w:pPr>
      <w:r w:rsidRPr="00F72572">
        <w:t xml:space="preserve">Establish the </w:t>
      </w:r>
      <w:proofErr w:type="gramStart"/>
      <w:r w:rsidRPr="00F72572">
        <w:t>facts;</w:t>
      </w:r>
      <w:proofErr w:type="gramEnd"/>
    </w:p>
    <w:p w14:paraId="0DC4E901" w14:textId="77777777" w:rsidR="00416FBA" w:rsidRPr="00F72572" w:rsidRDefault="00416FBA">
      <w:pPr>
        <w:pStyle w:val="ListParagraph"/>
        <w:numPr>
          <w:ilvl w:val="0"/>
          <w:numId w:val="2"/>
        </w:numPr>
        <w:spacing w:after="0"/>
        <w:ind w:left="567" w:hanging="283"/>
      </w:pPr>
      <w:r w:rsidRPr="00F72572">
        <w:t xml:space="preserve">Ascertain compliance with regulatory or self-regulatory practices or </w:t>
      </w:r>
      <w:proofErr w:type="gramStart"/>
      <w:r w:rsidRPr="00F72572">
        <w:t>procedures;</w:t>
      </w:r>
      <w:proofErr w:type="gramEnd"/>
    </w:p>
    <w:p w14:paraId="562B7E8A" w14:textId="77777777" w:rsidR="00416FBA" w:rsidRPr="00F72572" w:rsidRDefault="00416FBA">
      <w:pPr>
        <w:pStyle w:val="ListParagraph"/>
        <w:numPr>
          <w:ilvl w:val="0"/>
          <w:numId w:val="2"/>
        </w:numPr>
        <w:spacing w:after="0"/>
        <w:ind w:left="567" w:hanging="283"/>
      </w:pPr>
      <w:r w:rsidRPr="00F72572">
        <w:t xml:space="preserve">Demonstrate standards, which are or ought to be achieved by persons using the </w:t>
      </w:r>
      <w:proofErr w:type="gramStart"/>
      <w:r w:rsidRPr="00F72572">
        <w:t>system;</w:t>
      </w:r>
      <w:proofErr w:type="gramEnd"/>
    </w:p>
    <w:p w14:paraId="5DA2504B" w14:textId="77777777" w:rsidR="00416FBA" w:rsidRPr="00F72572" w:rsidRDefault="00416FBA">
      <w:pPr>
        <w:pStyle w:val="ListParagraph"/>
        <w:numPr>
          <w:ilvl w:val="0"/>
          <w:numId w:val="2"/>
        </w:numPr>
        <w:spacing w:after="0"/>
        <w:ind w:left="567" w:hanging="283"/>
      </w:pPr>
      <w:r w:rsidRPr="00F72572">
        <w:t xml:space="preserve">Investigate or detect unauthorised use of the communications </w:t>
      </w:r>
      <w:proofErr w:type="gramStart"/>
      <w:r w:rsidRPr="00F72572">
        <w:t>system;</w:t>
      </w:r>
      <w:proofErr w:type="gramEnd"/>
    </w:p>
    <w:p w14:paraId="36EF371F" w14:textId="77777777" w:rsidR="00416FBA" w:rsidRPr="00F72572" w:rsidRDefault="00416FBA">
      <w:pPr>
        <w:pStyle w:val="ListParagraph"/>
        <w:numPr>
          <w:ilvl w:val="0"/>
          <w:numId w:val="2"/>
        </w:numPr>
        <w:spacing w:after="0"/>
        <w:ind w:left="567" w:hanging="283"/>
      </w:pPr>
      <w:r w:rsidRPr="00F72572">
        <w:t xml:space="preserve">Prevent or detect crime or in the interests of national </w:t>
      </w:r>
      <w:proofErr w:type="gramStart"/>
      <w:r w:rsidRPr="00F72572">
        <w:t>security;</w:t>
      </w:r>
      <w:proofErr w:type="gramEnd"/>
    </w:p>
    <w:p w14:paraId="12226CFE" w14:textId="77777777" w:rsidR="00416FBA" w:rsidRPr="00F72572" w:rsidRDefault="00416FBA">
      <w:pPr>
        <w:pStyle w:val="ListParagraph"/>
        <w:numPr>
          <w:ilvl w:val="0"/>
          <w:numId w:val="2"/>
        </w:numPr>
        <w:spacing w:after="0"/>
        <w:ind w:left="567" w:hanging="283"/>
      </w:pPr>
      <w:r w:rsidRPr="00F72572">
        <w:t>Ensure the effective operation of the system.</w:t>
      </w:r>
    </w:p>
    <w:p w14:paraId="4DBBFFC0" w14:textId="77777777" w:rsidR="00416FBA" w:rsidRPr="00F72572" w:rsidRDefault="00416FBA">
      <w:pPr>
        <w:pStyle w:val="ListParagraph"/>
        <w:numPr>
          <w:ilvl w:val="0"/>
          <w:numId w:val="2"/>
        </w:numPr>
        <w:spacing w:after="0"/>
        <w:ind w:left="567" w:hanging="283"/>
      </w:pPr>
      <w:r w:rsidRPr="00F72572">
        <w:t xml:space="preserve">Monitoring but not recording is also permissible </w:t>
      </w:r>
      <w:proofErr w:type="gramStart"/>
      <w:r w:rsidRPr="00F72572">
        <w:t>in order to</w:t>
      </w:r>
      <w:proofErr w:type="gramEnd"/>
      <w:r w:rsidRPr="00F72572">
        <w:t>:</w:t>
      </w:r>
    </w:p>
    <w:p w14:paraId="404F3A6C" w14:textId="77777777" w:rsidR="00416FBA" w:rsidRPr="00F72572" w:rsidRDefault="00416FBA">
      <w:pPr>
        <w:pStyle w:val="ListParagraph"/>
        <w:numPr>
          <w:ilvl w:val="0"/>
          <w:numId w:val="2"/>
        </w:numPr>
        <w:spacing w:after="0"/>
        <w:ind w:left="567" w:hanging="283"/>
      </w:pPr>
      <w:r w:rsidRPr="00F72572">
        <w:t xml:space="preserve">Ascertain whether the communication is business or </w:t>
      </w:r>
      <w:proofErr w:type="gramStart"/>
      <w:r w:rsidRPr="00F72572">
        <w:t>personal;</w:t>
      </w:r>
      <w:proofErr w:type="gramEnd"/>
    </w:p>
    <w:p w14:paraId="3A811AA0" w14:textId="77777777" w:rsidR="00416FBA" w:rsidRPr="00F72572" w:rsidRDefault="00416FBA">
      <w:pPr>
        <w:pStyle w:val="ListParagraph"/>
        <w:numPr>
          <w:ilvl w:val="0"/>
          <w:numId w:val="2"/>
        </w:numPr>
        <w:spacing w:after="0"/>
        <w:ind w:left="567" w:hanging="283"/>
      </w:pPr>
      <w:r w:rsidRPr="00F72572">
        <w:lastRenderedPageBreak/>
        <w:t>Protect or support help line staff.</w:t>
      </w:r>
    </w:p>
    <w:p w14:paraId="05E73A5B" w14:textId="77777777" w:rsidR="00416FBA" w:rsidRPr="00F72572" w:rsidRDefault="00416FBA">
      <w:pPr>
        <w:pStyle w:val="ListParagraph"/>
        <w:numPr>
          <w:ilvl w:val="0"/>
          <w:numId w:val="2"/>
        </w:numPr>
        <w:spacing w:after="0"/>
        <w:ind w:left="567" w:hanging="283"/>
      </w:pPr>
      <w:r w:rsidRPr="00F72572">
        <w:t>The school reserves the right to monitor its systems and communications in line with its rights under this act.</w:t>
      </w:r>
    </w:p>
    <w:p w14:paraId="12B65A73" w14:textId="77777777" w:rsidR="00416FBA" w:rsidRPr="00F72572" w:rsidRDefault="00416FBA" w:rsidP="00416FBA">
      <w:pPr>
        <w:pStyle w:val="Heading3"/>
      </w:pPr>
      <w:bookmarkStart w:id="24" w:name="_Toc448745978"/>
      <w:bookmarkStart w:id="25" w:name="_Toc448754284"/>
      <w:bookmarkStart w:id="26" w:name="_Toc25747776"/>
      <w:proofErr w:type="gramStart"/>
      <w:r w:rsidRPr="00F72572">
        <w:t>Trade Marks</w:t>
      </w:r>
      <w:proofErr w:type="gramEnd"/>
      <w:r w:rsidRPr="00F72572">
        <w:t xml:space="preserve"> Act 1994</w:t>
      </w:r>
      <w:bookmarkEnd w:id="24"/>
      <w:bookmarkEnd w:id="25"/>
      <w:bookmarkEnd w:id="26"/>
    </w:p>
    <w:p w14:paraId="78B8B9C0" w14:textId="77777777" w:rsidR="00416FBA" w:rsidRPr="00F72572" w:rsidRDefault="00416FBA" w:rsidP="00416FBA">
      <w:r w:rsidRPr="00F72572">
        <w:t xml:space="preserve">This provides protection for Registered </w:t>
      </w:r>
      <w:proofErr w:type="gramStart"/>
      <w:r w:rsidRPr="00F72572">
        <w:t>Trade Marks</w:t>
      </w:r>
      <w:proofErr w:type="gramEnd"/>
      <w:r w:rsidRPr="00F72572">
        <w:t xml:space="preserve">, which can be any symbol (words, shapes or images) that are associated with a particular set of goods or services. Registered </w:t>
      </w:r>
      <w:proofErr w:type="gramStart"/>
      <w:r w:rsidRPr="00F72572">
        <w:t>Trade Marks</w:t>
      </w:r>
      <w:proofErr w:type="gramEnd"/>
      <w:r w:rsidRPr="00F72572">
        <w:t xml:space="preserve"> must not be used without permission. This can also arise from using a Mark that is confusingly </w:t>
      </w:r>
      <w:proofErr w:type="gramStart"/>
      <w:r w:rsidRPr="00F72572">
        <w:t>similar to</w:t>
      </w:r>
      <w:proofErr w:type="gramEnd"/>
      <w:r w:rsidRPr="00F72572">
        <w:t xml:space="preserve"> an existing Mark.</w:t>
      </w:r>
    </w:p>
    <w:p w14:paraId="61BB01FE" w14:textId="77777777" w:rsidR="00416FBA" w:rsidRPr="00F72572" w:rsidRDefault="00416FBA" w:rsidP="00416FBA">
      <w:pPr>
        <w:pStyle w:val="Heading3"/>
      </w:pPr>
      <w:bookmarkStart w:id="27" w:name="_Toc448745979"/>
      <w:bookmarkStart w:id="28" w:name="_Toc448754285"/>
      <w:bookmarkStart w:id="29" w:name="_Toc25747777"/>
      <w:r w:rsidRPr="00F72572">
        <w:t>Copyright, Designs and Patents Act 1988</w:t>
      </w:r>
      <w:bookmarkEnd w:id="27"/>
      <w:bookmarkEnd w:id="28"/>
      <w:bookmarkEnd w:id="29"/>
    </w:p>
    <w:p w14:paraId="5E48683B" w14:textId="77777777" w:rsidR="00416FBA" w:rsidRPr="00F72572" w:rsidRDefault="00416FBA" w:rsidP="00416FBA">
      <w:r w:rsidRPr="00F72572">
        <w:t>It is an offence to copy all, or a substantial part of a copyright work. There are, however, certain limited user permissions, such as fair dealing, which means under certain circumstances permission is not needed to copy small amounts for non-commercial research or private study. The Act also provides for Moral Rights, whereby authors can sue if their name is not included in a work they wrote, or if the work has been amended in such a way as to impugn their reputation. Copyright covers materials in print and electronic form, and includes words, images, and sounds, moving images, TV broadcasts and other media (</w:t>
      </w:r>
      <w:proofErr w:type="gramStart"/>
      <w:r w:rsidRPr="00F72572">
        <w:t>e.g.</w:t>
      </w:r>
      <w:proofErr w:type="gramEnd"/>
      <w:r w:rsidRPr="00F72572">
        <w:t xml:space="preserve"> YouTube).</w:t>
      </w:r>
    </w:p>
    <w:p w14:paraId="1AD37C0C" w14:textId="77777777" w:rsidR="00416FBA" w:rsidRPr="00F72572" w:rsidRDefault="00416FBA" w:rsidP="00416FBA">
      <w:pPr>
        <w:pStyle w:val="Heading3"/>
      </w:pPr>
      <w:bookmarkStart w:id="30" w:name="_Toc448745980"/>
      <w:bookmarkStart w:id="31" w:name="_Toc448754286"/>
      <w:bookmarkStart w:id="32" w:name="_Toc25747778"/>
      <w:r w:rsidRPr="00F72572">
        <w:t>Telecommunications Act 1984</w:t>
      </w:r>
      <w:bookmarkEnd w:id="30"/>
      <w:bookmarkEnd w:id="31"/>
      <w:bookmarkEnd w:id="32"/>
    </w:p>
    <w:p w14:paraId="3E4A9F51" w14:textId="77777777" w:rsidR="00416FBA" w:rsidRPr="00F72572" w:rsidRDefault="00416FBA" w:rsidP="00416FBA">
      <w:r w:rsidRPr="00F72572">
        <w:t xml:space="preserve">It is an offence to send a message or other matter that is grossly offensive or of an indecent, </w:t>
      </w:r>
      <w:proofErr w:type="gramStart"/>
      <w:r w:rsidRPr="00F72572">
        <w:t>obscene</w:t>
      </w:r>
      <w:proofErr w:type="gramEnd"/>
      <w:r w:rsidRPr="00F72572">
        <w:t xml:space="preserve"> or menacing character. It is also an offence to send a message that is intended to cause annoyance, </w:t>
      </w:r>
      <w:proofErr w:type="gramStart"/>
      <w:r w:rsidRPr="00F72572">
        <w:t>inconvenience</w:t>
      </w:r>
      <w:proofErr w:type="gramEnd"/>
      <w:r w:rsidRPr="00F72572">
        <w:t xml:space="preserve"> or needless anxiety to another that the sender knows to be false.</w:t>
      </w:r>
    </w:p>
    <w:p w14:paraId="4FCEC0CA" w14:textId="77777777" w:rsidR="00416FBA" w:rsidRPr="00F72572" w:rsidRDefault="00416FBA" w:rsidP="00416FBA">
      <w:pPr>
        <w:pStyle w:val="Heading3"/>
      </w:pPr>
      <w:bookmarkStart w:id="33" w:name="_Toc448745981"/>
      <w:bookmarkStart w:id="34" w:name="_Toc448754287"/>
      <w:bookmarkStart w:id="35" w:name="_Toc25747779"/>
      <w:r w:rsidRPr="00F72572">
        <w:t>Criminal Justice &amp; Public Order Act 1994</w:t>
      </w:r>
      <w:bookmarkEnd w:id="33"/>
      <w:bookmarkEnd w:id="34"/>
      <w:bookmarkEnd w:id="35"/>
    </w:p>
    <w:p w14:paraId="49C6E178" w14:textId="77777777" w:rsidR="00416FBA" w:rsidRPr="00F72572" w:rsidRDefault="00416FBA" w:rsidP="00416FBA">
      <w:r w:rsidRPr="00F72572">
        <w:t xml:space="preserve">This defines a criminal offence of intentional harassment, which covers all forms of harassment, including sexual. A person is guilty of an offence if, with intent to cause a person harassment, </w:t>
      </w:r>
      <w:proofErr w:type="gramStart"/>
      <w:r w:rsidRPr="00F72572">
        <w:t>alarm</w:t>
      </w:r>
      <w:proofErr w:type="gramEnd"/>
      <w:r w:rsidRPr="00F72572">
        <w:t xml:space="preserve"> or distress, they: </w:t>
      </w:r>
    </w:p>
    <w:p w14:paraId="6DC49B7F" w14:textId="77777777" w:rsidR="00416FBA" w:rsidRPr="00F72572" w:rsidRDefault="00416FBA">
      <w:pPr>
        <w:pStyle w:val="ListParagraph"/>
        <w:numPr>
          <w:ilvl w:val="0"/>
          <w:numId w:val="3"/>
        </w:numPr>
        <w:spacing w:after="0"/>
        <w:ind w:left="567" w:hanging="284"/>
      </w:pPr>
      <w:r w:rsidRPr="00F72572">
        <w:t>Use threatening, abusive or insulting words or behaviour, or disorderly behaviour; or</w:t>
      </w:r>
    </w:p>
    <w:p w14:paraId="2A8E4E59" w14:textId="77777777" w:rsidR="00416FBA" w:rsidRPr="00F72572" w:rsidRDefault="00416FBA">
      <w:pPr>
        <w:pStyle w:val="ListParagraph"/>
        <w:numPr>
          <w:ilvl w:val="0"/>
          <w:numId w:val="3"/>
        </w:numPr>
        <w:spacing w:after="0"/>
        <w:ind w:left="567" w:hanging="284"/>
      </w:pPr>
      <w:r w:rsidRPr="00F72572">
        <w:t xml:space="preserve">Display any writing, </w:t>
      </w:r>
      <w:proofErr w:type="gramStart"/>
      <w:r w:rsidRPr="00F72572">
        <w:t>sign</w:t>
      </w:r>
      <w:proofErr w:type="gramEnd"/>
      <w:r w:rsidRPr="00F72572">
        <w:t xml:space="preserve"> or other visible representation, which is threatening, abusive or insulting, thereby causing that or another person harassment, alarm or distress.</w:t>
      </w:r>
    </w:p>
    <w:p w14:paraId="306085DF" w14:textId="77777777" w:rsidR="00416FBA" w:rsidRPr="00F72572" w:rsidRDefault="00416FBA" w:rsidP="00416FBA">
      <w:pPr>
        <w:pStyle w:val="Heading3"/>
      </w:pPr>
      <w:bookmarkStart w:id="36" w:name="_Toc448745982"/>
      <w:bookmarkStart w:id="37" w:name="_Toc448754288"/>
      <w:bookmarkStart w:id="38" w:name="_Toc25747780"/>
      <w:r w:rsidRPr="00F72572">
        <w:t>Racial and Religious Hatred Act 2006</w:t>
      </w:r>
      <w:bookmarkEnd w:id="36"/>
      <w:bookmarkEnd w:id="37"/>
      <w:bookmarkEnd w:id="38"/>
      <w:r w:rsidRPr="00F72572">
        <w:t xml:space="preserve"> </w:t>
      </w:r>
    </w:p>
    <w:p w14:paraId="01FC982D" w14:textId="77777777" w:rsidR="00416FBA" w:rsidRPr="00F72572" w:rsidRDefault="00416FBA" w:rsidP="00416FBA">
      <w:r w:rsidRPr="00F72572">
        <w:t xml:space="preserve">This Act makes it a criminal offence to threaten people because of their faith, or to stir up religious hatred by displaying, </w:t>
      </w:r>
      <w:proofErr w:type="gramStart"/>
      <w:r w:rsidRPr="00F72572">
        <w:t>publishing</w:t>
      </w:r>
      <w:proofErr w:type="gramEnd"/>
      <w:r w:rsidRPr="00F72572">
        <w:t xml:space="preserve"> or distributing written material which is threatening. Other laws already protect people from threats based on their race, </w:t>
      </w:r>
      <w:proofErr w:type="gramStart"/>
      <w:r w:rsidRPr="00F72572">
        <w:t>nationality</w:t>
      </w:r>
      <w:proofErr w:type="gramEnd"/>
      <w:r w:rsidRPr="00F72572">
        <w:t xml:space="preserve"> or ethnic background. </w:t>
      </w:r>
    </w:p>
    <w:p w14:paraId="5266B9DB" w14:textId="77777777" w:rsidR="00416FBA" w:rsidRPr="00F72572" w:rsidRDefault="00416FBA" w:rsidP="00416FBA">
      <w:pPr>
        <w:pStyle w:val="Heading3"/>
      </w:pPr>
      <w:bookmarkStart w:id="39" w:name="_Toc448745983"/>
      <w:bookmarkStart w:id="40" w:name="_Toc448754289"/>
      <w:bookmarkStart w:id="41" w:name="_Toc25747781"/>
      <w:r w:rsidRPr="00F72572">
        <w:t>Protection from Harassment Act 1997</w:t>
      </w:r>
      <w:bookmarkEnd w:id="39"/>
      <w:bookmarkEnd w:id="40"/>
      <w:bookmarkEnd w:id="41"/>
    </w:p>
    <w:p w14:paraId="49F4F9A7" w14:textId="77777777" w:rsidR="00416FBA" w:rsidRPr="00F72572" w:rsidRDefault="00416FBA" w:rsidP="00416FBA">
      <w:r w:rsidRPr="00F72572">
        <w:t xml:space="preserve">A person must not pursue a course of conduct, which amounts to harassment of another, and which he knows or ought to know amounts to harassment of the other. A person whose course of conduct causes another to fear, on at least two occasions, that violence will be used against him is guilty of an offence if he knows or ought to know that his course of conduct will cause the other so to fear on each of those occasions. </w:t>
      </w:r>
    </w:p>
    <w:p w14:paraId="561A4625" w14:textId="77777777" w:rsidR="00416FBA" w:rsidRPr="00F72572" w:rsidRDefault="00416FBA" w:rsidP="00416FBA">
      <w:pPr>
        <w:pStyle w:val="Heading3"/>
      </w:pPr>
      <w:bookmarkStart w:id="42" w:name="_Toc448745984"/>
      <w:bookmarkStart w:id="43" w:name="_Toc448754290"/>
      <w:bookmarkStart w:id="44" w:name="_Toc25747782"/>
      <w:r w:rsidRPr="00F72572">
        <w:t>Protection of Children Act 1978</w:t>
      </w:r>
      <w:bookmarkEnd w:id="42"/>
      <w:bookmarkEnd w:id="43"/>
      <w:bookmarkEnd w:id="44"/>
    </w:p>
    <w:p w14:paraId="4901E869" w14:textId="77777777" w:rsidR="00416FBA" w:rsidRPr="00F72572" w:rsidRDefault="00416FBA" w:rsidP="00416FBA">
      <w:r w:rsidRPr="00F72572">
        <w:t>It is an offence to take, permit to be taken, make, possess, show, distribute or advertise indecent images of children in the United Kingdom. A c</w:t>
      </w:r>
      <w:r>
        <w:t>hild for these purposes is</w:t>
      </w:r>
      <w:r w:rsidRPr="00F72572">
        <w:t xml:space="preserve"> anyone under the age of 18. Viewing an indecent image of a child on your computer means that you have made a digital image. An image of a child also covers pseudo-photographs (digitally collated or otherwise). A person convicted of such an offence may face up to 10 years in prison</w:t>
      </w:r>
    </w:p>
    <w:p w14:paraId="693DDE5B" w14:textId="77777777" w:rsidR="00416FBA" w:rsidRPr="00F72572" w:rsidRDefault="00416FBA" w:rsidP="00416FBA">
      <w:pPr>
        <w:pStyle w:val="Heading3"/>
      </w:pPr>
      <w:bookmarkStart w:id="45" w:name="_Toc448745985"/>
      <w:bookmarkStart w:id="46" w:name="_Toc448754291"/>
      <w:bookmarkStart w:id="47" w:name="_Toc25747783"/>
      <w:r w:rsidRPr="00F72572">
        <w:lastRenderedPageBreak/>
        <w:t>Sexual Offences Act 2003</w:t>
      </w:r>
      <w:bookmarkEnd w:id="45"/>
      <w:bookmarkEnd w:id="46"/>
      <w:bookmarkEnd w:id="47"/>
    </w:p>
    <w:p w14:paraId="05883D93" w14:textId="77777777" w:rsidR="00416FBA" w:rsidRPr="00F72572" w:rsidRDefault="00416FBA" w:rsidP="00416FBA">
      <w:r w:rsidRPr="00F72572">
        <w:t xml:space="preserve">A grooming offence is committed if you are over 18 and have communicated with a child under 16 at least twice (including by phone or using the Internet) it is an offence to meet them or travel to meet them anywhere in the world with the intention of committing a sexual offence. Causing a child under 16 to watch a sexual act is illegal, including looking at images such as videos, </w:t>
      </w:r>
      <w:proofErr w:type="gramStart"/>
      <w:r w:rsidRPr="00F72572">
        <w:t>photos</w:t>
      </w:r>
      <w:proofErr w:type="gramEnd"/>
      <w:r w:rsidRPr="00F72572">
        <w:t xml:space="preserve"> or webcams, for your own gratification. It is also an offence for a person in a position of trust to engage in sexual activity with any person under 18, with whom they are in a position of trust. (Typically, teachers, social workers, health professionals, connexions staff fall in this category of trust). Any sexual intercourse with a child under the age of 13 commits the offence of rape. </w:t>
      </w:r>
    </w:p>
    <w:p w14:paraId="56AEF52F" w14:textId="77777777" w:rsidR="00416FBA" w:rsidRPr="00F72572" w:rsidRDefault="00416FBA" w:rsidP="00416FBA">
      <w:pPr>
        <w:pStyle w:val="Heading3"/>
      </w:pPr>
      <w:bookmarkStart w:id="48" w:name="_Toc448745986"/>
      <w:bookmarkStart w:id="49" w:name="_Toc448754292"/>
      <w:bookmarkStart w:id="50" w:name="_Toc25747784"/>
      <w:r w:rsidRPr="00F72572">
        <w:t>Public Order Act 1986</w:t>
      </w:r>
      <w:bookmarkEnd w:id="48"/>
      <w:bookmarkEnd w:id="49"/>
      <w:bookmarkEnd w:id="50"/>
    </w:p>
    <w:p w14:paraId="1101028A" w14:textId="77777777" w:rsidR="00416FBA" w:rsidRPr="00F72572" w:rsidRDefault="00416FBA" w:rsidP="00416FBA">
      <w:r w:rsidRPr="00F72572">
        <w:t xml:space="preserve">This Act makes it a criminal offence to stir up racial hatred by displaying, </w:t>
      </w:r>
      <w:proofErr w:type="gramStart"/>
      <w:r w:rsidRPr="00F72572">
        <w:t>publishing</w:t>
      </w:r>
      <w:proofErr w:type="gramEnd"/>
      <w:r w:rsidRPr="00F72572">
        <w:t xml:space="preserve"> or distributing written material which is threatening. Like the Racial and Religious Hatred Act 2006 it also makes the possession of inflammatory material with a view of releasing it a criminal offence. Children, Families and Education Directorate page 38 April 2007. </w:t>
      </w:r>
    </w:p>
    <w:p w14:paraId="6ECB2246" w14:textId="77777777" w:rsidR="00416FBA" w:rsidRPr="00F72572" w:rsidRDefault="00416FBA" w:rsidP="00416FBA">
      <w:pPr>
        <w:pStyle w:val="Heading3"/>
      </w:pPr>
      <w:bookmarkStart w:id="51" w:name="_Toc448745987"/>
      <w:bookmarkStart w:id="52" w:name="_Toc448754293"/>
      <w:bookmarkStart w:id="53" w:name="_Toc25747785"/>
      <w:r w:rsidRPr="00F72572">
        <w:t>Obscene Publications Act 1959 and 1964</w:t>
      </w:r>
      <w:bookmarkEnd w:id="51"/>
      <w:bookmarkEnd w:id="52"/>
      <w:bookmarkEnd w:id="53"/>
      <w:r w:rsidRPr="00F72572">
        <w:t xml:space="preserve"> </w:t>
      </w:r>
    </w:p>
    <w:p w14:paraId="01EED5D6" w14:textId="77777777" w:rsidR="00416FBA" w:rsidRPr="00F72572" w:rsidRDefault="00416FBA" w:rsidP="00416FBA">
      <w:r w:rsidRPr="00F72572">
        <w:t xml:space="preserve">Publishing an “obscene” article is a criminal offence. Publishing includes electronic transmission. </w:t>
      </w:r>
    </w:p>
    <w:p w14:paraId="428E36B4" w14:textId="77777777" w:rsidR="00416FBA" w:rsidRPr="00F72572" w:rsidRDefault="00416FBA" w:rsidP="00416FBA">
      <w:pPr>
        <w:pStyle w:val="Heading3"/>
      </w:pPr>
      <w:bookmarkStart w:id="54" w:name="_Toc448745988"/>
      <w:bookmarkStart w:id="55" w:name="_Toc448754294"/>
      <w:bookmarkStart w:id="56" w:name="_Toc25747786"/>
      <w:r w:rsidRPr="00F72572">
        <w:t>Human Rights Act 1998</w:t>
      </w:r>
      <w:bookmarkEnd w:id="54"/>
      <w:bookmarkEnd w:id="55"/>
      <w:bookmarkEnd w:id="56"/>
    </w:p>
    <w:p w14:paraId="64D56790" w14:textId="77777777" w:rsidR="00416FBA" w:rsidRPr="00F72572" w:rsidRDefault="00416FBA" w:rsidP="00416FBA">
      <w:r w:rsidRPr="00F72572">
        <w:t xml:space="preserve">This does not deal with any </w:t>
      </w:r>
      <w:proofErr w:type="gramStart"/>
      <w:r w:rsidRPr="00F72572">
        <w:t>particular issue</w:t>
      </w:r>
      <w:proofErr w:type="gramEnd"/>
      <w:r w:rsidRPr="00F72572">
        <w:t xml:space="preserve"> specifically or any discrete subject area within the law. It is a type of “higher law”, affecting all other laws. In the school context, human rights to be aware of include:</w:t>
      </w:r>
    </w:p>
    <w:p w14:paraId="69F2FDCA" w14:textId="77777777" w:rsidR="00416FBA" w:rsidRPr="00F72572" w:rsidRDefault="00416FBA">
      <w:pPr>
        <w:pStyle w:val="ListParagraph"/>
        <w:numPr>
          <w:ilvl w:val="0"/>
          <w:numId w:val="3"/>
        </w:numPr>
        <w:spacing w:after="0"/>
        <w:ind w:left="567" w:hanging="232"/>
      </w:pPr>
      <w:r w:rsidRPr="00F72572">
        <w:t>The right to a fair trial</w:t>
      </w:r>
    </w:p>
    <w:p w14:paraId="29FF1F9A" w14:textId="77777777" w:rsidR="00416FBA" w:rsidRPr="00F72572" w:rsidRDefault="00416FBA">
      <w:pPr>
        <w:pStyle w:val="ListParagraph"/>
        <w:numPr>
          <w:ilvl w:val="0"/>
          <w:numId w:val="3"/>
        </w:numPr>
        <w:spacing w:after="0"/>
        <w:ind w:left="567" w:hanging="232"/>
      </w:pPr>
      <w:r w:rsidRPr="00F72572">
        <w:t xml:space="preserve">The right to respect for private and family life, </w:t>
      </w:r>
      <w:proofErr w:type="gramStart"/>
      <w:r w:rsidRPr="00F72572">
        <w:t>home</w:t>
      </w:r>
      <w:proofErr w:type="gramEnd"/>
      <w:r w:rsidRPr="00F72572">
        <w:t xml:space="preserve"> and correspondence</w:t>
      </w:r>
    </w:p>
    <w:p w14:paraId="3B6C1C08" w14:textId="77777777" w:rsidR="00416FBA" w:rsidRPr="00F72572" w:rsidRDefault="00416FBA">
      <w:pPr>
        <w:pStyle w:val="ListParagraph"/>
        <w:numPr>
          <w:ilvl w:val="0"/>
          <w:numId w:val="3"/>
        </w:numPr>
        <w:spacing w:after="0"/>
        <w:ind w:left="567" w:hanging="232"/>
      </w:pPr>
      <w:r w:rsidRPr="00F72572">
        <w:t xml:space="preserve">Freedom of thought, </w:t>
      </w:r>
      <w:proofErr w:type="gramStart"/>
      <w:r w:rsidRPr="00F72572">
        <w:t>conscience</w:t>
      </w:r>
      <w:proofErr w:type="gramEnd"/>
      <w:r w:rsidRPr="00F72572">
        <w:t xml:space="preserve"> and religion</w:t>
      </w:r>
    </w:p>
    <w:p w14:paraId="3D7C2484" w14:textId="77777777" w:rsidR="00416FBA" w:rsidRPr="00F72572" w:rsidRDefault="00416FBA">
      <w:pPr>
        <w:pStyle w:val="ListParagraph"/>
        <w:numPr>
          <w:ilvl w:val="0"/>
          <w:numId w:val="3"/>
        </w:numPr>
        <w:spacing w:after="0"/>
        <w:ind w:left="567" w:hanging="232"/>
      </w:pPr>
      <w:r w:rsidRPr="00F72572">
        <w:t>Freedom of expression</w:t>
      </w:r>
    </w:p>
    <w:p w14:paraId="5E91ABFA" w14:textId="77777777" w:rsidR="00416FBA" w:rsidRPr="00F72572" w:rsidRDefault="00416FBA">
      <w:pPr>
        <w:pStyle w:val="ListParagraph"/>
        <w:numPr>
          <w:ilvl w:val="0"/>
          <w:numId w:val="3"/>
        </w:numPr>
        <w:spacing w:after="0"/>
        <w:ind w:left="567" w:hanging="232"/>
      </w:pPr>
      <w:r w:rsidRPr="00F72572">
        <w:t>Freedom of assembly</w:t>
      </w:r>
    </w:p>
    <w:p w14:paraId="157F6F5D" w14:textId="77777777" w:rsidR="00416FBA" w:rsidRPr="00F72572" w:rsidRDefault="00416FBA">
      <w:pPr>
        <w:pStyle w:val="ListParagraph"/>
        <w:numPr>
          <w:ilvl w:val="0"/>
          <w:numId w:val="3"/>
        </w:numPr>
        <w:spacing w:after="0"/>
        <w:ind w:left="567" w:hanging="232"/>
      </w:pPr>
      <w:r w:rsidRPr="00F72572">
        <w:t>Prohibition of discrimination</w:t>
      </w:r>
    </w:p>
    <w:p w14:paraId="54DFF895" w14:textId="77777777" w:rsidR="00416FBA" w:rsidRPr="00F72572" w:rsidRDefault="00416FBA">
      <w:pPr>
        <w:pStyle w:val="ListParagraph"/>
        <w:numPr>
          <w:ilvl w:val="0"/>
          <w:numId w:val="3"/>
        </w:numPr>
        <w:spacing w:after="0"/>
        <w:ind w:left="567" w:hanging="232"/>
      </w:pPr>
      <w:r w:rsidRPr="00F72572">
        <w:t>The right to education</w:t>
      </w:r>
    </w:p>
    <w:p w14:paraId="2F505601" w14:textId="77777777" w:rsidR="00416FBA" w:rsidRPr="00F72572" w:rsidRDefault="00416FBA" w:rsidP="00416FBA">
      <w:r w:rsidRPr="00F72572">
        <w:t xml:space="preserve">These rights are not absolute. The school is obliged to respect these rights and freedoms, balancing them against those rights, </w:t>
      </w:r>
      <w:proofErr w:type="gramStart"/>
      <w:r w:rsidRPr="00F72572">
        <w:t>duties</w:t>
      </w:r>
      <w:proofErr w:type="gramEnd"/>
      <w:r w:rsidRPr="00F72572">
        <w:t xml:space="preserve"> and obligations, which arise from other relevant legislation.</w:t>
      </w:r>
    </w:p>
    <w:p w14:paraId="38003117" w14:textId="77777777" w:rsidR="00416FBA" w:rsidRPr="00F72572" w:rsidRDefault="00416FBA" w:rsidP="00416FBA">
      <w:pPr>
        <w:pStyle w:val="Heading3"/>
      </w:pPr>
      <w:bookmarkStart w:id="57" w:name="_Toc448745989"/>
      <w:bookmarkStart w:id="58" w:name="_Toc448754295"/>
      <w:bookmarkStart w:id="59" w:name="_Toc25747787"/>
      <w:r w:rsidRPr="00F72572">
        <w:t>The Education and Inspections Act 2006</w:t>
      </w:r>
      <w:bookmarkEnd w:id="57"/>
      <w:bookmarkEnd w:id="58"/>
      <w:bookmarkEnd w:id="59"/>
      <w:r w:rsidRPr="00F72572">
        <w:t xml:space="preserve"> </w:t>
      </w:r>
    </w:p>
    <w:p w14:paraId="7A681931" w14:textId="77777777" w:rsidR="00416FBA" w:rsidRPr="00F72572" w:rsidRDefault="00416FBA" w:rsidP="00416FBA">
      <w:r w:rsidRPr="00F72572">
        <w:rPr>
          <w:noProof/>
          <w:lang w:eastAsia="en-GB"/>
        </w:rPr>
        <mc:AlternateContent>
          <mc:Choice Requires="wps">
            <w:drawing>
              <wp:anchor distT="0" distB="0" distL="114300" distR="114300" simplePos="0" relativeHeight="251661312" behindDoc="0" locked="0" layoutInCell="1" allowOverlap="1" wp14:anchorId="00FA12E0" wp14:editId="14B2D872">
                <wp:simplePos x="0" y="0"/>
                <wp:positionH relativeFrom="column">
                  <wp:posOffset>-1784985</wp:posOffset>
                </wp:positionH>
                <wp:positionV relativeFrom="paragraph">
                  <wp:posOffset>1130300</wp:posOffset>
                </wp:positionV>
                <wp:extent cx="800100" cy="571500"/>
                <wp:effectExtent l="0" t="0" r="3810" b="25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0FB08" w14:textId="77777777" w:rsidR="00416FBA" w:rsidRDefault="00416FBA" w:rsidP="00416FBA">
                            <w:pPr>
                              <w:jc w:val="center"/>
                              <w:rPr>
                                <w:rFonts w:ascii="Arial" w:hAnsi="Arial"/>
                              </w:rPr>
                            </w:pPr>
                            <w:r>
                              <w:rPr>
                                <w:rFonts w:ascii="Arial" w:hAnsi="Arial"/>
                                <w:color w:val="FFFFFF"/>
                                <w:sz w:val="60"/>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A12E0" id="Text Box 27" o:spid="_x0000_s1027" type="#_x0000_t202" style="position:absolute;left:0;text-align:left;margin-left:-140.55pt;margin-top:89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ICDA5N8AAAANAQAADwAAAGRycy9kb3ducmV2LnhtbEyPzU7DMBCE70i8g7VI&#10;3FI7ESlpiFMhEFcQ5UfqzY23SUS8jmK3CW/PcoLjznyanam2ixvEGafQe9KQrhQIpMbbnloN729P&#10;SQEiREPWDJ5QwzcG2NaXF5UprZ/pFc+72AoOoVAaDV2MYyllaDp0Jqz8iMTe0U/ORD6nVtrJzBzu&#10;BpkptZbO9MQfOjPiQ4fN1+7kNHw8H/efN+qlfXT5OPtFSXIbqfX11XJ/ByLiEv9g+K3P1aHmTgd/&#10;IhvEoCHJijRllp3bglcxkqR5ztJBQ7ZmSdaV/L+i/gEAAP//AwBQSwECLQAUAAYACAAAACEAtoM4&#10;kv4AAADhAQAAEwAAAAAAAAAAAAAAAAAAAAAAW0NvbnRlbnRfVHlwZXNdLnhtbFBLAQItABQABgAI&#10;AAAAIQA4/SH/1gAAAJQBAAALAAAAAAAAAAAAAAAAAC8BAABfcmVscy8ucmVsc1BLAQItABQABgAI&#10;AAAAIQD64vj13wEAAKcDAAAOAAAAAAAAAAAAAAAAAC4CAABkcnMvZTJvRG9jLnhtbFBLAQItABQA&#10;BgAIAAAAIQAgIMDk3wAAAA0BAAAPAAAAAAAAAAAAAAAAADkEAABkcnMvZG93bnJldi54bWxQSwUG&#10;AAAAAAQABADzAAAARQUAAAAA&#10;" filled="f" stroked="f">
                <v:textbox>
                  <w:txbxContent>
                    <w:p w14:paraId="1410FB08" w14:textId="77777777" w:rsidR="00416FBA" w:rsidRDefault="00416FBA" w:rsidP="00416FBA">
                      <w:pPr>
                        <w:jc w:val="center"/>
                        <w:rPr>
                          <w:rFonts w:ascii="Arial" w:hAnsi="Arial"/>
                        </w:rPr>
                      </w:pPr>
                      <w:r>
                        <w:rPr>
                          <w:rFonts w:ascii="Arial" w:hAnsi="Arial"/>
                          <w:color w:val="FFFFFF"/>
                          <w:sz w:val="60"/>
                        </w:rPr>
                        <w:t>51</w:t>
                      </w:r>
                    </w:p>
                  </w:txbxContent>
                </v:textbox>
              </v:shape>
            </w:pict>
          </mc:Fallback>
        </mc:AlternateContent>
      </w:r>
      <w:r w:rsidRPr="00F72572">
        <w:t xml:space="preserve">Empowers Headteachers, to such extent as is reasonable, to regulate the behaviour of </w:t>
      </w:r>
      <w:r>
        <w:t>learners</w:t>
      </w:r>
      <w:r w:rsidRPr="00F72572">
        <w:t xml:space="preserve"> when they are off the school site and empowers members of staff to impose disciplinary penalties for inappropriate behaviour.</w:t>
      </w:r>
    </w:p>
    <w:p w14:paraId="069B64D7" w14:textId="77777777" w:rsidR="00416FBA" w:rsidRPr="00F72572" w:rsidRDefault="00416FBA" w:rsidP="00416FBA">
      <w:pPr>
        <w:pStyle w:val="Heading3"/>
      </w:pPr>
      <w:bookmarkStart w:id="60" w:name="_Toc448745990"/>
      <w:bookmarkStart w:id="61" w:name="_Toc448754296"/>
      <w:bookmarkStart w:id="62" w:name="_Toc25747788"/>
      <w:r w:rsidRPr="00F72572">
        <w:t>The Education and Inspections Act 2011</w:t>
      </w:r>
      <w:bookmarkEnd w:id="60"/>
      <w:bookmarkEnd w:id="61"/>
      <w:bookmarkEnd w:id="62"/>
    </w:p>
    <w:p w14:paraId="12783F49" w14:textId="77777777" w:rsidR="00416FBA" w:rsidRDefault="00416FBA" w:rsidP="00416FBA">
      <w:r w:rsidRPr="00F72572">
        <w:t xml:space="preserve">Extended the powers included in the 2006 Act and gave permission for Headteachers (and nominated staff) to search for electronic devices. It also provides powers to search for data on those devices and to delete data. </w:t>
      </w:r>
    </w:p>
    <w:p w14:paraId="2A208952" w14:textId="77777777" w:rsidR="00416FBA" w:rsidRPr="00F72572" w:rsidRDefault="00416FBA" w:rsidP="00416FBA">
      <w:pPr>
        <w:jc w:val="left"/>
        <w:rPr>
          <w:rFonts w:ascii="Arial" w:hAnsi="Arial" w:cs="Arial"/>
        </w:rPr>
      </w:pPr>
      <w:r w:rsidRPr="006F3047">
        <w:rPr>
          <w:rStyle w:val="BlueText"/>
        </w:rPr>
        <w:t>(see template policy in these appendices and for DfE guidance -</w:t>
      </w:r>
      <w:r w:rsidRPr="00F72572">
        <w:t xml:space="preserve"> </w:t>
      </w:r>
      <w:hyperlink r:id="rId10" w:history="1">
        <w:r w:rsidRPr="00E301E9">
          <w:rPr>
            <w:rStyle w:val="Hyperlink1"/>
          </w:rPr>
          <w:t>http://www.education.gov.uk/schools/</w:t>
        </w:r>
        <w:r>
          <w:rPr>
            <w:rStyle w:val="Hyperlink1"/>
          </w:rPr>
          <w:t>learner</w:t>
        </w:r>
        <w:r w:rsidRPr="00E301E9">
          <w:rPr>
            <w:rStyle w:val="Hyperlink1"/>
          </w:rPr>
          <w:t>support/behaviour/behaviourpolicies/f0076897/screening-searching-and-confiscation</w:t>
        </w:r>
      </w:hyperlink>
      <w:r w:rsidRPr="00F72572">
        <w:rPr>
          <w:color w:val="0070C0"/>
        </w:rPr>
        <w:t>)</w:t>
      </w:r>
    </w:p>
    <w:p w14:paraId="3D40D24D" w14:textId="77777777" w:rsidR="00416FBA" w:rsidRPr="00F72572" w:rsidRDefault="00416FBA" w:rsidP="00416FBA">
      <w:pPr>
        <w:pStyle w:val="Heading3"/>
      </w:pPr>
      <w:bookmarkStart w:id="63" w:name="_Toc448745991"/>
      <w:bookmarkStart w:id="64" w:name="_Toc448754297"/>
      <w:bookmarkStart w:id="65" w:name="_Toc25747789"/>
      <w:r w:rsidRPr="00F72572">
        <w:t>The Protection of Freedoms Act 2012</w:t>
      </w:r>
      <w:bookmarkEnd w:id="63"/>
      <w:bookmarkEnd w:id="64"/>
      <w:bookmarkEnd w:id="65"/>
    </w:p>
    <w:p w14:paraId="7AD0A0B2" w14:textId="77777777" w:rsidR="00416FBA" w:rsidRPr="00F72572" w:rsidRDefault="00416FBA" w:rsidP="00416FBA">
      <w:r w:rsidRPr="00F72572">
        <w:t>Requires schools to seek permission from a parent/carer to use Biometric systems</w:t>
      </w:r>
    </w:p>
    <w:p w14:paraId="30B1CCDE" w14:textId="77777777" w:rsidR="00416FBA" w:rsidRPr="00F72572" w:rsidRDefault="00416FBA" w:rsidP="00416FBA">
      <w:pPr>
        <w:pStyle w:val="Heading3"/>
      </w:pPr>
      <w:bookmarkStart w:id="66" w:name="_Toc448745992"/>
      <w:bookmarkStart w:id="67" w:name="_Toc448754298"/>
      <w:bookmarkStart w:id="68" w:name="_Toc25747790"/>
      <w:r w:rsidRPr="00F72572">
        <w:t>The School Information Regulations 2012</w:t>
      </w:r>
      <w:bookmarkEnd w:id="66"/>
      <w:bookmarkEnd w:id="67"/>
      <w:bookmarkEnd w:id="68"/>
    </w:p>
    <w:p w14:paraId="300D3266" w14:textId="77777777" w:rsidR="00416FBA" w:rsidRPr="00F72572" w:rsidRDefault="00416FBA" w:rsidP="00416FBA">
      <w:r w:rsidRPr="00F72572">
        <w:t xml:space="preserve">Requires schools to publish certain information on its website: </w:t>
      </w:r>
    </w:p>
    <w:p w14:paraId="05532D0E" w14:textId="77777777" w:rsidR="00416FBA" w:rsidRPr="00F72572" w:rsidRDefault="00416FBA" w:rsidP="00416FBA">
      <w:hyperlink r:id="rId11" w:history="1">
        <w:r w:rsidRPr="00E301E9">
          <w:rPr>
            <w:rStyle w:val="Hyperlink1"/>
          </w:rPr>
          <w:t>https://www.gov.uk/guidance/what-maintained-schools-must-publish-online</w:t>
        </w:r>
      </w:hyperlink>
    </w:p>
    <w:p w14:paraId="62F415D3" w14:textId="77777777" w:rsidR="00416FBA" w:rsidRPr="00F72572" w:rsidRDefault="00416FBA" w:rsidP="00416FBA">
      <w:pPr>
        <w:pStyle w:val="Heading3"/>
        <w:rPr>
          <w:rFonts w:eastAsia="Times New Roman"/>
        </w:rPr>
      </w:pPr>
      <w:bookmarkStart w:id="69" w:name="_Toc448745993"/>
      <w:bookmarkStart w:id="70" w:name="_Toc448754299"/>
      <w:bookmarkStart w:id="71" w:name="_Toc25747791"/>
      <w:r w:rsidRPr="00F72572">
        <w:rPr>
          <w:rFonts w:eastAsia="Times New Roman"/>
        </w:rPr>
        <w:t>Serious Crime Act 2015</w:t>
      </w:r>
      <w:bookmarkEnd w:id="69"/>
      <w:bookmarkEnd w:id="70"/>
      <w:bookmarkEnd w:id="71"/>
      <w:r w:rsidRPr="00F72572">
        <w:rPr>
          <w:rFonts w:eastAsia="Times New Roman"/>
        </w:rPr>
        <w:t xml:space="preserve"> </w:t>
      </w:r>
    </w:p>
    <w:p w14:paraId="48F63224" w14:textId="77777777" w:rsidR="00416FBA" w:rsidRPr="00F72572" w:rsidRDefault="00416FBA" w:rsidP="00416FBA">
      <w:r w:rsidRPr="00F72572">
        <w:t>Introduced new offence of sexual communication with a child. Also created new offences and orders around gang crime (including CSE)</w:t>
      </w:r>
    </w:p>
    <w:p w14:paraId="27EE7DE6" w14:textId="77777777" w:rsidR="00416FBA" w:rsidRPr="00CE4A8E" w:rsidRDefault="00416FBA" w:rsidP="00416FBA">
      <w:pPr>
        <w:pStyle w:val="Heading3"/>
        <w:rPr>
          <w:rFonts w:eastAsia="Times New Roman"/>
          <w:lang w:eastAsia="en-GB"/>
        </w:rPr>
      </w:pPr>
      <w:r w:rsidRPr="00F72572">
        <w:rPr>
          <w:rFonts w:eastAsia="Times New Roman"/>
          <w:lang w:eastAsia="en-GB"/>
        </w:rPr>
        <w:t>Criminal Justice and Courts Act 2015</w:t>
      </w:r>
    </w:p>
    <w:p w14:paraId="0360ACD6" w14:textId="77777777" w:rsidR="00416FBA" w:rsidRPr="00F72572" w:rsidRDefault="00416FBA" w:rsidP="00416FBA">
      <w:pPr>
        <w:rPr>
          <w:lang w:eastAsia="en-GB"/>
        </w:rPr>
      </w:pPr>
      <w:r w:rsidRPr="00F72572">
        <w:rPr>
          <w:lang w:eastAsia="en-GB"/>
        </w:rPr>
        <w:t xml:space="preserve">Revenge porn – as it is now commonly known – involves the distribution of private and personal explicit images or video footage of an individual without their consent, with the intention of causing them embarrassment and distress. Often revenge porn is used maliciously to shame ex-partners. Revenge porn was made a specific offence in the Criminal Justice and Courts Act 2015. The Act specifies that if you are accused of revenge porn and found guilty of the criminal offence, you could be prosecuted and face a sentence of up to two years in prison.  </w:t>
      </w:r>
    </w:p>
    <w:p w14:paraId="2ED33DC6" w14:textId="77777777" w:rsidR="00416FBA" w:rsidRPr="00F72572" w:rsidRDefault="00416FBA" w:rsidP="00416FBA">
      <w:pPr>
        <w:rPr>
          <w:lang w:eastAsia="en-GB"/>
        </w:rPr>
      </w:pPr>
    </w:p>
    <w:p w14:paraId="78F598F6" w14:textId="77777777" w:rsidR="00416FBA" w:rsidRDefault="00416FBA" w:rsidP="00416FBA">
      <w:pPr>
        <w:rPr>
          <w:rStyle w:val="Hyperlink1"/>
        </w:rPr>
      </w:pPr>
      <w:r w:rsidRPr="00F72572">
        <w:rPr>
          <w:lang w:eastAsia="en-GB"/>
        </w:rPr>
        <w:t xml:space="preserve">For further guidance or support please contact the </w:t>
      </w:r>
      <w:hyperlink r:id="rId12" w:history="1">
        <w:r w:rsidRPr="00E301E9">
          <w:rPr>
            <w:rStyle w:val="Hyperlink1"/>
          </w:rPr>
          <w:t>Revenge Porn Helpline</w:t>
        </w:r>
      </w:hyperlink>
    </w:p>
    <w:p w14:paraId="6050BA89" w14:textId="77777777" w:rsidR="00416FBA" w:rsidRDefault="00416FBA" w:rsidP="008946BA">
      <w:pPr>
        <w:jc w:val="left"/>
        <w:rPr>
          <w:rFonts w:ascii="Arial" w:hAnsi="Arial" w:cs="Arial"/>
          <w:color w:val="466DB0"/>
          <w:sz w:val="18"/>
          <w:szCs w:val="18"/>
        </w:rPr>
      </w:pPr>
    </w:p>
    <w:p w14:paraId="017F9D45" w14:textId="1200A382"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Copyright of these policy templates is held by SWGfL. Schools/colleges and other educational institutions are permitted free use of the policy templates for the purposes of policy review and development. Any person or organisation wishing to use the document for other purposes should seek consent from SWGfL (</w:t>
      </w:r>
      <w:hyperlink r:id="rId13" w:history="1">
        <w:r w:rsidRPr="0084081A">
          <w:rPr>
            <w:rStyle w:val="Hyperlink"/>
            <w:rFonts w:ascii="Arial" w:hAnsi="Arial" w:cs="Arial"/>
            <w:color w:val="466DB0"/>
            <w:sz w:val="18"/>
            <w:szCs w:val="18"/>
          </w:rPr>
          <w:t>onlinesafety@swgfl.org.uk</w:t>
        </w:r>
      </w:hyperlink>
      <w:r w:rsidRPr="0084081A">
        <w:rPr>
          <w:rFonts w:ascii="Arial" w:hAnsi="Arial" w:cs="Arial"/>
          <w:color w:val="466DB0"/>
          <w:sz w:val="18"/>
          <w:szCs w:val="18"/>
        </w:rPr>
        <w:t xml:space="preserve">) and acknowledge its use. Every effort has been made to ensure that the information included in this document is accurate, as at the date of publication in </w:t>
      </w:r>
      <w:r>
        <w:rPr>
          <w:rFonts w:ascii="Arial" w:hAnsi="Arial" w:cs="Arial"/>
          <w:color w:val="466DB0"/>
          <w:sz w:val="18"/>
          <w:szCs w:val="18"/>
        </w:rPr>
        <w:t>September</w:t>
      </w:r>
      <w:r w:rsidRPr="0084081A">
        <w:rPr>
          <w:rFonts w:ascii="Arial" w:hAnsi="Arial" w:cs="Arial"/>
          <w:color w:val="466DB0"/>
          <w:sz w:val="18"/>
          <w:szCs w:val="18"/>
        </w:rPr>
        <w:t xml:space="preserve"> 202</w:t>
      </w:r>
      <w:r>
        <w:rPr>
          <w:rFonts w:ascii="Arial" w:hAnsi="Arial" w:cs="Arial"/>
          <w:color w:val="466DB0"/>
          <w:sz w:val="18"/>
          <w:szCs w:val="18"/>
        </w:rPr>
        <w:t>2</w:t>
      </w:r>
      <w:r w:rsidRPr="0084081A">
        <w:rPr>
          <w:rFonts w:ascii="Arial" w:hAnsi="Arial" w:cs="Arial"/>
          <w:color w:val="466DB0"/>
          <w:sz w:val="18"/>
          <w:szCs w:val="18"/>
        </w:rPr>
        <w:t>.  However, SWGfL cannot guarantee its accuracy, nor can it accept liability in respect of the use of the material.</w:t>
      </w:r>
    </w:p>
    <w:p w14:paraId="7B430495" w14:textId="74B04C22" w:rsidR="006F55C1" w:rsidRPr="0084081A" w:rsidRDefault="008946BA" w:rsidP="00305C43">
      <w:pPr>
        <w:jc w:val="left"/>
        <w:rPr>
          <w:sz w:val="18"/>
          <w:szCs w:val="18"/>
        </w:rPr>
      </w:pPr>
      <w:r w:rsidRPr="0084081A">
        <w:rPr>
          <w:rFonts w:ascii="Arial" w:hAnsi="Arial" w:cs="Arial"/>
          <w:color w:val="466DB0"/>
          <w:sz w:val="18"/>
          <w:szCs w:val="18"/>
        </w:rPr>
        <w:t>© SWGfL 202</w:t>
      </w:r>
      <w:r>
        <w:rPr>
          <w:rFonts w:ascii="Arial" w:hAnsi="Arial" w:cs="Arial"/>
          <w:color w:val="466DB0"/>
          <w:sz w:val="18"/>
          <w:szCs w:val="18"/>
        </w:rPr>
        <w:t>2</w:t>
      </w:r>
    </w:p>
    <w:sectPr w:rsidR="006F55C1" w:rsidRPr="0084081A" w:rsidSect="00DD3A2C">
      <w:headerReference w:type="default" r:id="rId14"/>
      <w:pgSz w:w="11906" w:h="16838"/>
      <w:pgMar w:top="907" w:right="907" w:bottom="907" w:left="90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575B" w14:textId="77777777" w:rsidR="00537314" w:rsidRDefault="00537314" w:rsidP="00B7074B">
      <w:pPr>
        <w:spacing w:after="0" w:line="240" w:lineRule="auto"/>
      </w:pPr>
      <w:r>
        <w:separator/>
      </w:r>
    </w:p>
  </w:endnote>
  <w:endnote w:type="continuationSeparator" w:id="0">
    <w:p w14:paraId="460BD2E6" w14:textId="77777777" w:rsidR="00537314" w:rsidRDefault="00537314" w:rsidP="00B7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L Frutiger Light">
    <w:altName w:val="Courier New"/>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A4652" w14:textId="77777777" w:rsidR="00537314" w:rsidRDefault="00537314" w:rsidP="00B7074B">
      <w:pPr>
        <w:spacing w:after="0" w:line="240" w:lineRule="auto"/>
      </w:pPr>
      <w:r>
        <w:separator/>
      </w:r>
    </w:p>
  </w:footnote>
  <w:footnote w:type="continuationSeparator" w:id="0">
    <w:p w14:paraId="4901CA9D" w14:textId="77777777" w:rsidR="00537314" w:rsidRDefault="00537314" w:rsidP="00B70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7FC6" w14:textId="032C061C" w:rsidR="00B7074B" w:rsidRPr="000A437A" w:rsidRDefault="00470E54" w:rsidP="0084081A">
    <w:pPr>
      <w:tabs>
        <w:tab w:val="left" w:pos="9075"/>
        <w:tab w:val="right" w:pos="10092"/>
      </w:tabs>
      <w:jc w:val="left"/>
      <w:rPr>
        <w:rFonts w:ascii="Gotham Medium" w:hAnsi="Gotham Medium"/>
        <w:sz w:val="24"/>
      </w:rPr>
    </w:pPr>
    <w:r>
      <w:rPr>
        <w:noProof/>
        <w:lang w:eastAsia="en-GB"/>
      </w:rPr>
      <w:drawing>
        <wp:anchor distT="0" distB="0" distL="114300" distR="114300" simplePos="0" relativeHeight="251662336" behindDoc="1" locked="0" layoutInCell="1" allowOverlap="1" wp14:anchorId="2DD60B26" wp14:editId="54032A87">
          <wp:simplePos x="0" y="0"/>
          <wp:positionH relativeFrom="page">
            <wp:posOffset>5153025</wp:posOffset>
          </wp:positionH>
          <wp:positionV relativeFrom="page">
            <wp:posOffset>276225</wp:posOffset>
          </wp:positionV>
          <wp:extent cx="1962150" cy="5995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599546"/>
                  </a:xfrm>
                  <a:prstGeom prst="rect">
                    <a:avLst/>
                  </a:prstGeom>
                </pic:spPr>
              </pic:pic>
            </a:graphicData>
          </a:graphic>
          <wp14:sizeRelH relativeFrom="margin">
            <wp14:pctWidth>0</wp14:pctWidth>
          </wp14:sizeRelH>
          <wp14:sizeRelV relativeFrom="margin">
            <wp14:pctHeight>0</wp14:pctHeight>
          </wp14:sizeRelV>
        </wp:anchor>
      </w:drawing>
    </w:r>
    <w:r w:rsidR="00737369">
      <w:rPr>
        <w:noProof/>
        <w:lang w:eastAsia="en-GB"/>
      </w:rPr>
      <w:drawing>
        <wp:anchor distT="0" distB="0" distL="114300" distR="114300" simplePos="0" relativeHeight="251664384" behindDoc="0" locked="0" layoutInCell="1" allowOverlap="1" wp14:anchorId="3FC156D8" wp14:editId="29B5EE4A">
          <wp:simplePos x="0" y="0"/>
          <wp:positionH relativeFrom="margin">
            <wp:posOffset>-114300</wp:posOffset>
          </wp:positionH>
          <wp:positionV relativeFrom="paragraph">
            <wp:posOffset>-773430</wp:posOffset>
          </wp:positionV>
          <wp:extent cx="1857375" cy="860511"/>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57375" cy="860511"/>
                  </a:xfrm>
                  <a:prstGeom prst="rect">
                    <a:avLst/>
                  </a:prstGeom>
                </pic:spPr>
              </pic:pic>
            </a:graphicData>
          </a:graphic>
          <wp14:sizeRelH relativeFrom="page">
            <wp14:pctWidth>0</wp14:pctWidth>
          </wp14:sizeRelH>
          <wp14:sizeRelV relativeFrom="page">
            <wp14:pctHeight>0</wp14:pctHeight>
          </wp14:sizeRelV>
        </wp:anchor>
      </w:drawing>
    </w:r>
    <w:r w:rsidR="00737369">
      <w:rPr>
        <w:rFonts w:ascii="Gotham Medium" w:hAnsi="Gotham Medium"/>
        <w:noProof/>
        <w:sz w:val="24"/>
        <w:lang w:eastAsia="en-GB"/>
      </w:rPr>
      <mc:AlternateContent>
        <mc:Choice Requires="wps">
          <w:drawing>
            <wp:anchor distT="0" distB="0" distL="114300" distR="114300" simplePos="0" relativeHeight="251660288" behindDoc="0" locked="0" layoutInCell="1" allowOverlap="1" wp14:anchorId="7E47A93D" wp14:editId="4B7B35AD">
              <wp:simplePos x="0" y="0"/>
              <wp:positionH relativeFrom="column">
                <wp:posOffset>1910080</wp:posOffset>
              </wp:positionH>
              <wp:positionV relativeFrom="paragraph">
                <wp:posOffset>-401955</wp:posOffset>
              </wp:positionV>
              <wp:extent cx="2400300" cy="5289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400300" cy="528955"/>
                      </a:xfrm>
                      <a:prstGeom prst="rect">
                        <a:avLst/>
                      </a:prstGeom>
                      <a:solidFill>
                        <a:schemeClr val="lt1"/>
                      </a:solidFill>
                      <a:ln w="6350">
                        <a:noFill/>
                      </a:ln>
                    </wps:spPr>
                    <wps:txb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47A93D" id="_x0000_t202" coordsize="21600,21600" o:spt="202" path="m,l,21600r21600,l21600,xe">
              <v:stroke joinstyle="miter"/>
              <v:path gradientshapeok="t" o:connecttype="rect"/>
            </v:shapetype>
            <v:shape id="Text Box 3" o:spid="_x0000_s1028" type="#_x0000_t202" style="position:absolute;margin-left:150.4pt;margin-top:-31.65pt;width:189pt;height:41.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4gLAIAAFQEAAAOAAAAZHJzL2Uyb0RvYy54bWysVEtv2zAMvg/YfxB0X+y4SdcacYosRYYB&#10;QVsgHXpWZCk2IIuapMTOfv0o2Xms22nYRSZF6uPro2cPXaPIQVhXgy7oeJRSIjSHsta7gn5/XX26&#10;o8R5pkumQIuCHoWjD/OPH2atyUUGFahSWIIg2uWtKWjlvcmTxPFKNMyNwAiNRgm2YR5Vu0tKy1pE&#10;b1SSpelt0oItjQUunMPbx95I5xFfSsH9s5ROeKIKirn5eNp4bsOZzGcs31lmqpoPabB/yKJhtcag&#10;Z6hH5hnZ2/oPqKbmFhxIP+LQJCBlzUWsAasZp++q2VTMiFgLNseZc5vc/4PlT4eNebHEd1+gwwGG&#10;hrTG5Q4vQz2dtE34YqYE7djC47ltovOE42U2SdObFE0cbdPs7n46DTDJ5bWxzn8V0JAgFNTiWGK3&#10;2GHtfO96cgnBHKi6XNVKRSVQQSyVJQeGQ1Q+5ojgv3kpTdqC3t5M0wisITzvkZXGXC41Bcl3224o&#10;dAvlEeu30FPDGb6qMck1c/6FWeQC1oX89s94SAUYBAaJkgrsz7/dB38cEVopaZFbBXU/9swKStQ3&#10;jcO7H08mgYxRmUw/Z6jYa8v22qL3zRKw8jFukuFRDP5enURpoXnDNViEqGhimmPsgvqTuPQ943GN&#10;uFgsohPSzzC/1hvDA3TodBjBa/fGrBnm5HHCT3BiIcvfjav3DS81LPYeZB1nGRrcd3XoO1I3smFY&#10;s7Ab13r0uvwM5r8AAAD//wMAUEsDBBQABgAIAAAAIQDnFUle4AAAAAoBAAAPAAAAZHJzL2Rvd25y&#10;ZXYueG1sTI/NTsMwEITvSLyDtUhcUOuARVqFbCqE+JG4tYFW3Nx4SSJiO4rdJLw9ywmOszOa+Tbf&#10;zLYTIw2h9Q7hepmAIFd507oa4a18WqxBhKid0Z13hPBNATbF+VmuM+Mnt6VxF2vBJS5kGqGJsc+k&#10;DFVDVoel78mx9+kHqyPLoZZm0BOX207eJEkqrW4dLzS6p4eGqq/dySJ8XNWH1zA/v0/qVvWPL2O5&#10;2psS8fJivr8DEWmOf2H4xWd0KJjp6E/OBNEhqCRh9IiwSJUCwYl0tebLEYGHQRa5/P9C8QMAAP//&#10;AwBQSwECLQAUAAYACAAAACEAtoM4kv4AAADhAQAAEwAAAAAAAAAAAAAAAAAAAAAAW0NvbnRlbnRf&#10;VHlwZXNdLnhtbFBLAQItABQABgAIAAAAIQA4/SH/1gAAAJQBAAALAAAAAAAAAAAAAAAAAC8BAABf&#10;cmVscy8ucmVsc1BLAQItABQABgAIAAAAIQBxi74gLAIAAFQEAAAOAAAAAAAAAAAAAAAAAC4CAABk&#10;cnMvZTJvRG9jLnhtbFBLAQItABQABgAIAAAAIQDnFUle4AAAAAoBAAAPAAAAAAAAAAAAAAAAAIYE&#10;AABkcnMvZG93bnJldi54bWxQSwUGAAAAAAQABADzAAAAkwUAAAAA&#10;" fillcolor="white [3201]" stroked="f" strokeweight=".5pt">
              <v:textbo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v:textbox>
            </v:shape>
          </w:pict>
        </mc:Fallback>
      </mc:AlternateContent>
    </w:r>
    <w:r w:rsidR="000A437A">
      <w:rPr>
        <w:rFonts w:ascii="Gotham Medium" w:hAnsi="Gotham Medium"/>
        <w:noProof/>
        <w:sz w:val="24"/>
        <w:lang w:val="en-US"/>
      </w:rPr>
      <w:t xml:space="preserve"> </w:t>
    </w:r>
    <w:r w:rsidR="0084081A">
      <w:rPr>
        <w:rFonts w:ascii="Gotham Medium" w:hAnsi="Gotham Medium"/>
        <w:noProof/>
        <w:sz w:val="24"/>
        <w:lang w:val="en-US"/>
      </w:rPr>
      <w:tab/>
    </w:r>
    <w:r w:rsidR="0084081A">
      <w:rPr>
        <w:rFonts w:ascii="Gotham Medium" w:hAnsi="Gotham Medium"/>
        <w:noProof/>
        <w:sz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72963"/>
    <w:multiLevelType w:val="hybridMultilevel"/>
    <w:tmpl w:val="F2B6EE2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7F2843"/>
    <w:multiLevelType w:val="hybridMultilevel"/>
    <w:tmpl w:val="A1FCDFF0"/>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4996617">
    <w:abstractNumId w:val="0"/>
  </w:num>
  <w:num w:numId="2" w16cid:durableId="881329304">
    <w:abstractNumId w:val="2"/>
  </w:num>
  <w:num w:numId="3" w16cid:durableId="21052963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4B"/>
    <w:rsid w:val="00021F00"/>
    <w:rsid w:val="00044A8F"/>
    <w:rsid w:val="00067887"/>
    <w:rsid w:val="00077BE6"/>
    <w:rsid w:val="000A437A"/>
    <w:rsid w:val="000B1583"/>
    <w:rsid w:val="000B54D3"/>
    <w:rsid w:val="000D7C5B"/>
    <w:rsid w:val="00112144"/>
    <w:rsid w:val="0013282C"/>
    <w:rsid w:val="00153155"/>
    <w:rsid w:val="0016103C"/>
    <w:rsid w:val="00167078"/>
    <w:rsid w:val="001B0B67"/>
    <w:rsid w:val="001C3EBB"/>
    <w:rsid w:val="001C5719"/>
    <w:rsid w:val="00217234"/>
    <w:rsid w:val="002303D2"/>
    <w:rsid w:val="00232594"/>
    <w:rsid w:val="00252DB9"/>
    <w:rsid w:val="002C56D0"/>
    <w:rsid w:val="002D12F3"/>
    <w:rsid w:val="002D6802"/>
    <w:rsid w:val="002F53BC"/>
    <w:rsid w:val="00304B8A"/>
    <w:rsid w:val="00305C43"/>
    <w:rsid w:val="003064A1"/>
    <w:rsid w:val="00332602"/>
    <w:rsid w:val="003D209F"/>
    <w:rsid w:val="00416FBA"/>
    <w:rsid w:val="00451A10"/>
    <w:rsid w:val="00466AF6"/>
    <w:rsid w:val="00470E54"/>
    <w:rsid w:val="004835C1"/>
    <w:rsid w:val="004C4E3A"/>
    <w:rsid w:val="004F7F58"/>
    <w:rsid w:val="00522F64"/>
    <w:rsid w:val="00537314"/>
    <w:rsid w:val="005B7E0E"/>
    <w:rsid w:val="005F086D"/>
    <w:rsid w:val="006A5DF1"/>
    <w:rsid w:val="006B135B"/>
    <w:rsid w:val="006B2CAC"/>
    <w:rsid w:val="006E466F"/>
    <w:rsid w:val="006F55C1"/>
    <w:rsid w:val="00734F3F"/>
    <w:rsid w:val="0073622A"/>
    <w:rsid w:val="00737369"/>
    <w:rsid w:val="00744120"/>
    <w:rsid w:val="007E00B5"/>
    <w:rsid w:val="00804D4A"/>
    <w:rsid w:val="00813E39"/>
    <w:rsid w:val="00834CB9"/>
    <w:rsid w:val="00837886"/>
    <w:rsid w:val="0084081A"/>
    <w:rsid w:val="00890749"/>
    <w:rsid w:val="008946BA"/>
    <w:rsid w:val="008D1FB9"/>
    <w:rsid w:val="008E1FCF"/>
    <w:rsid w:val="009335CD"/>
    <w:rsid w:val="00934378"/>
    <w:rsid w:val="0093472E"/>
    <w:rsid w:val="00962A62"/>
    <w:rsid w:val="009A516B"/>
    <w:rsid w:val="009C0D84"/>
    <w:rsid w:val="009E5FF9"/>
    <w:rsid w:val="00A04868"/>
    <w:rsid w:val="00AF6E78"/>
    <w:rsid w:val="00B03B5B"/>
    <w:rsid w:val="00B7074B"/>
    <w:rsid w:val="00C06627"/>
    <w:rsid w:val="00C87932"/>
    <w:rsid w:val="00C87C49"/>
    <w:rsid w:val="00C90A17"/>
    <w:rsid w:val="00C9182F"/>
    <w:rsid w:val="00CC51FD"/>
    <w:rsid w:val="00CE6CBC"/>
    <w:rsid w:val="00CF1CC7"/>
    <w:rsid w:val="00D25778"/>
    <w:rsid w:val="00D31E2B"/>
    <w:rsid w:val="00D84B14"/>
    <w:rsid w:val="00D916B0"/>
    <w:rsid w:val="00DD3A2C"/>
    <w:rsid w:val="00DD3BDB"/>
    <w:rsid w:val="00DE5344"/>
    <w:rsid w:val="00E210CA"/>
    <w:rsid w:val="00E35AAA"/>
    <w:rsid w:val="00E46896"/>
    <w:rsid w:val="00E64C5E"/>
    <w:rsid w:val="00E66260"/>
    <w:rsid w:val="00EA17F1"/>
    <w:rsid w:val="00F84D58"/>
    <w:rsid w:val="00FC1776"/>
    <w:rsid w:val="00FD3DDE"/>
    <w:rsid w:val="00FD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8E85"/>
  <w15:chartTrackingRefBased/>
  <w15:docId w15:val="{37921E58-809E-4547-AEF3-C59A92E0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74B"/>
    <w:pPr>
      <w:spacing w:after="200" w:line="264" w:lineRule="auto"/>
      <w:jc w:val="both"/>
    </w:pPr>
    <w:rPr>
      <w:rFonts w:ascii="Open Sans Light" w:hAnsi="Open Sans Light"/>
      <w:sz w:val="20"/>
    </w:rPr>
  </w:style>
  <w:style w:type="paragraph" w:styleId="Heading1">
    <w:name w:val="heading 1"/>
    <w:basedOn w:val="Normal"/>
    <w:next w:val="Normal"/>
    <w:link w:val="Heading1Char"/>
    <w:uiPriority w:val="9"/>
    <w:qFormat/>
    <w:rsid w:val="000D7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74B"/>
    <w:pPr>
      <w:keepNext/>
      <w:keepLines/>
      <w:spacing w:before="440" w:after="220"/>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B7074B"/>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4C4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74B"/>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B7074B"/>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B7074B"/>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7074B"/>
    <w:rPr>
      <w:rFonts w:ascii="Arial" w:eastAsia="Times" w:hAnsi="Arial" w:cs="Times New Roman"/>
      <w:b/>
      <w:color w:val="96BE2B"/>
      <w:sz w:val="32"/>
      <w:szCs w:val="32"/>
      <w:lang w:val="x-none" w:eastAsia="x-none"/>
    </w:rPr>
  </w:style>
  <w:style w:type="paragraph" w:styleId="Header">
    <w:name w:val="header"/>
    <w:basedOn w:val="Normal"/>
    <w:link w:val="HeaderChar"/>
    <w:uiPriority w:val="99"/>
    <w:unhideWhenUsed/>
    <w:rsid w:val="00B7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4B"/>
    <w:rPr>
      <w:rFonts w:ascii="Open Sans Light" w:hAnsi="Open Sans Light"/>
      <w:sz w:val="20"/>
    </w:rPr>
  </w:style>
  <w:style w:type="paragraph" w:styleId="Footer">
    <w:name w:val="footer"/>
    <w:basedOn w:val="Normal"/>
    <w:link w:val="FooterChar"/>
    <w:uiPriority w:val="99"/>
    <w:unhideWhenUsed/>
    <w:rsid w:val="00B7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4B"/>
    <w:rPr>
      <w:rFonts w:ascii="Open Sans Light" w:hAnsi="Open Sans Light"/>
      <w:sz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B03B5B"/>
    <w:pPr>
      <w:ind w:left="720"/>
      <w:contextualSpacing/>
    </w:pPr>
  </w:style>
  <w:style w:type="paragraph" w:styleId="NoSpacing">
    <w:name w:val="No Spacing"/>
    <w:link w:val="NoSpacingChar"/>
    <w:uiPriority w:val="1"/>
    <w:qFormat/>
    <w:rsid w:val="00B03B5B"/>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B03B5B"/>
    <w:rPr>
      <w:rFonts w:ascii="Open Sans Light" w:hAnsi="Open Sans Light"/>
      <w:sz w:val="20"/>
    </w:rPr>
  </w:style>
  <w:style w:type="paragraph" w:customStyle="1" w:styleId="Blue-Arial10-optionaltext-templates">
    <w:name w:val="Blue - Arial 10 - optional text - templates"/>
    <w:basedOn w:val="Normal"/>
    <w:link w:val="Blue-Arial10-optionaltext-templatesChar"/>
    <w:qFormat/>
    <w:rsid w:val="00B03B5B"/>
    <w:pPr>
      <w:spacing w:line="240" w:lineRule="exact"/>
      <w:ind w:left="-567"/>
      <w:jc w:val="left"/>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B03B5B"/>
    <w:rPr>
      <w:rFonts w:ascii="Arial" w:eastAsia="Times" w:hAnsi="Arial" w:cs="Times New Roman"/>
      <w:color w:val="466DB0"/>
      <w:sz w:val="20"/>
      <w:szCs w:val="20"/>
      <w:lang w:val="x-none" w:eastAsia="x-none"/>
    </w:rPr>
  </w:style>
  <w:style w:type="paragraph" w:customStyle="1" w:styleId="body">
    <w:name w:val="body"/>
    <w:basedOn w:val="Normal"/>
    <w:link w:val="bodyChar"/>
    <w:rsid w:val="00CE6CBC"/>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CE6CBC"/>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93472E"/>
    <w:pPr>
      <w:spacing w:after="57"/>
      <w:ind w:left="-567"/>
    </w:pPr>
    <w:rPr>
      <w:rFonts w:ascii="Arial" w:hAnsi="Arial"/>
      <w:color w:val="494949"/>
    </w:rPr>
  </w:style>
  <w:style w:type="character" w:customStyle="1" w:styleId="GreyArial10body-TemplatesChar">
    <w:name w:val="Grey Arial 10 body - Templates Char"/>
    <w:link w:val="GreyArial10body-Templates"/>
    <w:rsid w:val="0093472E"/>
    <w:rPr>
      <w:rFonts w:ascii="Arial" w:eastAsia="Times" w:hAnsi="Arial" w:cs="Times New Roman"/>
      <w:color w:val="494949"/>
      <w:sz w:val="20"/>
      <w:szCs w:val="20"/>
      <w:lang w:val="x-none" w:eastAsia="x-none"/>
    </w:rPr>
  </w:style>
  <w:style w:type="character" w:styleId="Hyperlink">
    <w:name w:val="Hyperlink"/>
    <w:basedOn w:val="DefaultParagraphFont"/>
    <w:uiPriority w:val="99"/>
    <w:unhideWhenUsed/>
    <w:rsid w:val="00466AF6"/>
    <w:rPr>
      <w:color w:val="0563C1" w:themeColor="hyperlink"/>
      <w:u w:val="single"/>
    </w:rPr>
  </w:style>
  <w:style w:type="character" w:styleId="Emphasis">
    <w:name w:val="Emphasis"/>
    <w:basedOn w:val="DefaultParagraphFont"/>
    <w:uiPriority w:val="20"/>
    <w:qFormat/>
    <w:rsid w:val="00466AF6"/>
    <w:rPr>
      <w:i/>
      <w:iCs/>
    </w:rPr>
  </w:style>
  <w:style w:type="character" w:customStyle="1" w:styleId="Heading4Char">
    <w:name w:val="Heading 4 Char"/>
    <w:basedOn w:val="DefaultParagraphFont"/>
    <w:link w:val="Heading4"/>
    <w:uiPriority w:val="9"/>
    <w:semiHidden/>
    <w:rsid w:val="004C4E3A"/>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8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FCF"/>
    <w:pPr>
      <w:spacing w:after="0" w:line="240" w:lineRule="auto"/>
      <w:jc w:val="left"/>
    </w:pPr>
    <w:rPr>
      <w:rFonts w:ascii="Times" w:eastAsia="Times" w:hAnsi="Times" w:cs="Times New Roman"/>
      <w:szCs w:val="20"/>
      <w:lang w:eastAsia="en-GB"/>
    </w:rPr>
  </w:style>
  <w:style w:type="character" w:customStyle="1" w:styleId="FootnoteTextChar">
    <w:name w:val="Footnote Text Char"/>
    <w:basedOn w:val="DefaultParagraphFont"/>
    <w:link w:val="FootnoteText"/>
    <w:uiPriority w:val="99"/>
    <w:semiHidden/>
    <w:rsid w:val="008E1FCF"/>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8E1FCF"/>
    <w:rPr>
      <w:vertAlign w:val="superscript"/>
    </w:rPr>
  </w:style>
  <w:style w:type="paragraph" w:customStyle="1" w:styleId="Body0">
    <w:name w:val="Body"/>
    <w:rsid w:val="008E1FCF"/>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1Char">
    <w:name w:val="Heading 1 Char"/>
    <w:basedOn w:val="DefaultParagraphFont"/>
    <w:link w:val="Heading1"/>
    <w:uiPriority w:val="9"/>
    <w:rsid w:val="000D7C5B"/>
    <w:rPr>
      <w:rFonts w:asciiTheme="majorHAnsi" w:eastAsiaTheme="majorEastAsia" w:hAnsiTheme="majorHAnsi" w:cstheme="majorBidi"/>
      <w:color w:val="2F5496" w:themeColor="accent1" w:themeShade="BF"/>
      <w:sz w:val="32"/>
      <w:szCs w:val="32"/>
    </w:rPr>
  </w:style>
  <w:style w:type="paragraph" w:customStyle="1" w:styleId="GridBlue">
    <w:name w:val="Grid Blue"/>
    <w:basedOn w:val="Normal"/>
    <w:link w:val="GridBlueChar"/>
    <w:qFormat/>
    <w:rsid w:val="0084081A"/>
    <w:pPr>
      <w:spacing w:after="240" w:line="288" w:lineRule="auto"/>
    </w:pPr>
    <w:rPr>
      <w:rFonts w:cs="Arial"/>
      <w:color w:val="1762AB"/>
      <w:sz w:val="22"/>
    </w:rPr>
  </w:style>
  <w:style w:type="character" w:customStyle="1" w:styleId="GridBlueChar">
    <w:name w:val="Grid Blue Char"/>
    <w:basedOn w:val="DefaultParagraphFont"/>
    <w:link w:val="GridBlue"/>
    <w:rsid w:val="0084081A"/>
    <w:rPr>
      <w:rFonts w:ascii="Open Sans Light" w:hAnsi="Open Sans Light" w:cs="Arial"/>
      <w:color w:val="1762AB"/>
    </w:rPr>
  </w:style>
  <w:style w:type="character" w:styleId="IntenseEmphasis">
    <w:name w:val="Intense Emphasis"/>
    <w:aliases w:val="Grid Blue Underline"/>
    <w:basedOn w:val="DefaultParagraphFont"/>
    <w:uiPriority w:val="21"/>
    <w:qFormat/>
    <w:rsid w:val="006B2CAC"/>
    <w:rPr>
      <w:rFonts w:ascii="Open Sans Light" w:hAnsi="Open Sans Light"/>
      <w:i w:val="0"/>
      <w:iCs/>
      <w:color w:val="1762AB"/>
      <w:u w:val="single"/>
    </w:rPr>
  </w:style>
  <w:style w:type="paragraph" w:customStyle="1" w:styleId="Footnote">
    <w:name w:val="Footnote"/>
    <w:basedOn w:val="Normal"/>
    <w:qFormat/>
    <w:rsid w:val="006B2CAC"/>
    <w:pPr>
      <w:spacing w:after="240" w:line="288" w:lineRule="auto"/>
    </w:pPr>
    <w:rPr>
      <w:sz w:val="18"/>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F55C1"/>
    <w:rPr>
      <w:rFonts w:ascii="Open Sans Light" w:hAnsi="Open Sans Light"/>
      <w:sz w:val="20"/>
    </w:rPr>
  </w:style>
  <w:style w:type="character" w:customStyle="1" w:styleId="BlueText">
    <w:name w:val="Blue Text"/>
    <w:uiPriority w:val="1"/>
    <w:qFormat/>
    <w:rsid w:val="0016103C"/>
    <w:rPr>
      <w:color w:val="003EA4"/>
    </w:rPr>
  </w:style>
  <w:style w:type="paragraph" w:styleId="Quote">
    <w:name w:val="Quote"/>
    <w:basedOn w:val="Normal"/>
    <w:next w:val="Normal"/>
    <w:link w:val="QuoteChar"/>
    <w:uiPriority w:val="29"/>
    <w:qFormat/>
    <w:rsid w:val="00E64C5E"/>
    <w:pPr>
      <w:spacing w:before="200" w:after="160" w:line="259" w:lineRule="auto"/>
      <w:ind w:left="864" w:right="864"/>
      <w:jc w:val="center"/>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E64C5E"/>
    <w:rPr>
      <w:i/>
      <w:iCs/>
      <w:color w:val="404040" w:themeColor="text1" w:themeTint="BF"/>
    </w:rPr>
  </w:style>
  <w:style w:type="character" w:customStyle="1" w:styleId="Hyperlink1">
    <w:name w:val="Hyperlink1"/>
    <w:rsid w:val="00DD3A2C"/>
    <w:rPr>
      <w:color w:val="003EA4"/>
      <w:sz w:val="20"/>
      <w:u w:val="single"/>
    </w:rPr>
  </w:style>
  <w:style w:type="paragraph" w:styleId="NormalWeb">
    <w:name w:val="Normal (Web)"/>
    <w:basedOn w:val="Normal"/>
    <w:uiPriority w:val="99"/>
    <w:unhideWhenUsed/>
    <w:rsid w:val="0015315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153155"/>
    <w:pPr>
      <w:spacing w:after="0" w:line="240" w:lineRule="auto"/>
      <w:jc w:val="left"/>
    </w:pPr>
    <w:rPr>
      <w:rFonts w:ascii="Times" w:eastAsia="Times" w:hAnsi="Times" w:cs="Times New Roman"/>
      <w:sz w:val="19"/>
      <w:szCs w:val="20"/>
      <w:lang w:eastAsia="en-GB"/>
    </w:rPr>
  </w:style>
  <w:style w:type="character" w:customStyle="1" w:styleId="CommentTextChar">
    <w:name w:val="Comment Text Char"/>
    <w:basedOn w:val="DefaultParagraphFont"/>
    <w:link w:val="CommentText"/>
    <w:uiPriority w:val="99"/>
    <w:semiHidden/>
    <w:rsid w:val="00153155"/>
    <w:rPr>
      <w:rFonts w:ascii="Times" w:eastAsia="Times" w:hAnsi="Times" w:cs="Times New Roman"/>
      <w:sz w:val="19"/>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crimeagency.gov.uk/what-we-do/crime-threats/cyber-crime/cyber-crime-preventing-young-people-from-getting-involved" TargetMode="External"/><Relationship Id="rId13" Type="http://schemas.openxmlformats.org/officeDocument/2006/relationships/hyperlink" Target="mailto:onlinesafety@swgfl.org.uk" TargetMode="External"/><Relationship Id="rId3" Type="http://schemas.openxmlformats.org/officeDocument/2006/relationships/settings" Target="settings.xml"/><Relationship Id="rId7" Type="http://schemas.openxmlformats.org/officeDocument/2006/relationships/hyperlink" Target="https://reportharmfulcontent.com/when-should-you-go-to-the-police/" TargetMode="External"/><Relationship Id="rId12" Type="http://schemas.openxmlformats.org/officeDocument/2006/relationships/hyperlink" Target="https://revengepornhelpline.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what-maintained-schools-must-publish-onlin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cation.gov.uk/schools/pupilsupport/behaviour/behaviourpolicies/f0076897/screening-searching-and-confiscation" TargetMode="External"/><Relationship Id="rId4" Type="http://schemas.openxmlformats.org/officeDocument/2006/relationships/webSettings" Target="webSettings.xml"/><Relationship Id="rId9" Type="http://schemas.openxmlformats.org/officeDocument/2006/relationships/hyperlink" Target="https://nationalcrimeagency.gov.uk/who-we-are/publications/75-guide-to-the-computer-misuse-act/fi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Ron Richards</cp:lastModifiedBy>
  <cp:revision>2</cp:revision>
  <dcterms:created xsi:type="dcterms:W3CDTF">2022-08-30T15:54:00Z</dcterms:created>
  <dcterms:modified xsi:type="dcterms:W3CDTF">2022-08-30T15:54:00Z</dcterms:modified>
</cp:coreProperties>
</file>